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91D724" w14:textId="551E52EB" w:rsidR="007A6960" w:rsidRDefault="29FB7429" w:rsidP="007A6960">
      <w:pPr>
        <w:tabs>
          <w:tab w:val="left" w:pos="1134"/>
        </w:tabs>
        <w:spacing w:after="0" w:line="240" w:lineRule="auto"/>
        <w:jc w:val="center"/>
        <w:rPr>
          <w:rFonts w:ascii="Arial" w:hAnsi="Arial" w:cs="Arial"/>
          <w:b/>
          <w:bCs/>
        </w:rPr>
      </w:pPr>
      <w:r w:rsidRPr="096D7A15">
        <w:rPr>
          <w:rFonts w:ascii="Arial" w:hAnsi="Arial" w:cs="Arial"/>
          <w:b/>
          <w:bCs/>
        </w:rPr>
        <w:t>POLÍTICA</w:t>
      </w:r>
      <w:r w:rsidR="35F53212" w:rsidRPr="096D7A15">
        <w:rPr>
          <w:rFonts w:ascii="Arial" w:hAnsi="Arial" w:cs="Arial"/>
          <w:b/>
          <w:bCs/>
        </w:rPr>
        <w:t xml:space="preserve"> DE GERENCIAMENTO DE RISCO DE LIQUIDEZ E DE CAPITAL</w:t>
      </w:r>
    </w:p>
    <w:p w14:paraId="672A6659" w14:textId="77777777" w:rsidR="007A6960" w:rsidRDefault="007A6960" w:rsidP="3762BA9F">
      <w:pPr>
        <w:tabs>
          <w:tab w:val="left" w:pos="6780"/>
        </w:tabs>
        <w:spacing w:after="0" w:line="240" w:lineRule="auto"/>
        <w:jc w:val="both"/>
        <w:rPr>
          <w:rFonts w:ascii="Verdana" w:hAnsi="Verdana"/>
        </w:rPr>
      </w:pPr>
    </w:p>
    <w:p w14:paraId="42102903" w14:textId="77777777" w:rsidR="007A6960" w:rsidRPr="001B5F4E" w:rsidRDefault="35F53212" w:rsidP="096D7A15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</w:rPr>
      </w:pPr>
      <w:r w:rsidRPr="096D7A15">
        <w:rPr>
          <w:rFonts w:ascii="Verdana-Bold" w:hAnsi="Verdana-Bold" w:cs="Verdana-Bold"/>
          <w:b/>
          <w:bCs/>
          <w:color w:val="000000" w:themeColor="text1"/>
        </w:rPr>
        <w:t>1. Objetivo</w:t>
      </w:r>
    </w:p>
    <w:p w14:paraId="0A37501D" w14:textId="77777777" w:rsidR="007A6960" w:rsidRDefault="007A6960" w:rsidP="096D7A15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color w:val="000000"/>
        </w:rPr>
      </w:pPr>
    </w:p>
    <w:p w14:paraId="46E64C9B" w14:textId="6B45570D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59D5384">
        <w:rPr>
          <w:rFonts w:ascii="Arial" w:hAnsi="Arial" w:cs="Arial"/>
          <w:color w:val="000000" w:themeColor="text1"/>
          <w:sz w:val="24"/>
          <w:szCs w:val="24"/>
        </w:rPr>
        <w:t xml:space="preserve">A política tem como objetivo estabelecer diretrizes e responsabilidades para a implementação e manutenção do sistema de Gerenciamento de Risco de Liquidez e de Capital da </w:t>
      </w:r>
      <w:r w:rsidR="72E562F7" w:rsidRPr="059D5384">
        <w:rPr>
          <w:rFonts w:ascii="Arial" w:hAnsi="Arial" w:cs="Arial"/>
          <w:sz w:val="24"/>
          <w:szCs w:val="24"/>
        </w:rPr>
        <w:t>Cooperativa de Economia e Crédito Mútuo dos Empregados da Tupy Minas Ltda</w:t>
      </w:r>
      <w:r w:rsidR="72DAFB41" w:rsidRPr="059D5384">
        <w:rPr>
          <w:rFonts w:ascii="Arial" w:hAnsi="Arial" w:cs="Arial"/>
          <w:sz w:val="24"/>
          <w:szCs w:val="24"/>
        </w:rPr>
        <w:t>.</w:t>
      </w:r>
      <w:r w:rsidR="72E562F7" w:rsidRPr="059D5384">
        <w:rPr>
          <w:rFonts w:ascii="Arial" w:hAnsi="Arial" w:cs="Arial"/>
          <w:sz w:val="24"/>
          <w:szCs w:val="24"/>
        </w:rPr>
        <w:t xml:space="preserve"> e </w:t>
      </w:r>
      <w:proofErr w:type="spellStart"/>
      <w:r w:rsidR="72E562F7" w:rsidRPr="059D5384">
        <w:rPr>
          <w:rFonts w:ascii="Arial" w:hAnsi="Arial" w:cs="Arial"/>
          <w:sz w:val="24"/>
          <w:szCs w:val="24"/>
        </w:rPr>
        <w:t>Nemak</w:t>
      </w:r>
      <w:proofErr w:type="spellEnd"/>
      <w:r w:rsidR="72E562F7" w:rsidRPr="059D5384">
        <w:rPr>
          <w:rFonts w:ascii="Arial" w:hAnsi="Arial" w:cs="Arial"/>
          <w:sz w:val="24"/>
          <w:szCs w:val="24"/>
        </w:rPr>
        <w:t xml:space="preserve"> Alumínio do Brasil Ltda</w:t>
      </w:r>
      <w:r w:rsidR="35D0D67B" w:rsidRPr="059D5384">
        <w:rPr>
          <w:rFonts w:ascii="Arial" w:hAnsi="Arial" w:cs="Arial"/>
          <w:sz w:val="24"/>
          <w:szCs w:val="24"/>
        </w:rPr>
        <w:t>.</w:t>
      </w:r>
      <w:r w:rsidR="72E562F7" w:rsidRPr="059D5384">
        <w:rPr>
          <w:rFonts w:ascii="Arial" w:hAnsi="Arial" w:cs="Arial"/>
          <w:sz w:val="24"/>
          <w:szCs w:val="24"/>
        </w:rPr>
        <w:t xml:space="preserve"> – </w:t>
      </w:r>
      <w:proofErr w:type="spellStart"/>
      <w:r w:rsidR="3561C184" w:rsidRPr="059D5384">
        <w:rPr>
          <w:rFonts w:ascii="Arial" w:hAnsi="Arial" w:cs="Arial"/>
          <w:sz w:val="24"/>
          <w:szCs w:val="24"/>
        </w:rPr>
        <w:t>FundCoop</w:t>
      </w:r>
      <w:proofErr w:type="spellEnd"/>
      <w:r w:rsidR="72E562F7" w:rsidRPr="059D5384">
        <w:rPr>
          <w:rFonts w:ascii="Arial" w:hAnsi="Arial" w:cs="Arial"/>
          <w:sz w:val="24"/>
          <w:szCs w:val="24"/>
        </w:rPr>
        <w:t xml:space="preserve"> </w:t>
      </w:r>
      <w:r w:rsidRPr="059D5384">
        <w:rPr>
          <w:rFonts w:ascii="Arial" w:hAnsi="Arial" w:cs="Arial"/>
          <w:color w:val="000000" w:themeColor="text1"/>
          <w:sz w:val="24"/>
          <w:szCs w:val="24"/>
        </w:rPr>
        <w:t>e visa promover ações que possam manter a exposição dos riscos de liquidez e de capital em patamares aceitáveis.</w:t>
      </w:r>
    </w:p>
    <w:p w14:paraId="5DAB6C7B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267BBD3C" w14:textId="064F121A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3762BA9F">
        <w:rPr>
          <w:rFonts w:ascii="Arial" w:hAnsi="Arial" w:cs="Arial"/>
          <w:color w:val="000000" w:themeColor="text1"/>
          <w:sz w:val="24"/>
          <w:szCs w:val="24"/>
        </w:rPr>
        <w:t xml:space="preserve">A </w:t>
      </w:r>
      <w:proofErr w:type="spellStart"/>
      <w:r w:rsidR="5FFAE87A" w:rsidRPr="3762BA9F">
        <w:rPr>
          <w:rFonts w:ascii="Arial" w:hAnsi="Arial" w:cs="Arial"/>
          <w:sz w:val="24"/>
          <w:szCs w:val="24"/>
        </w:rPr>
        <w:t>FundCoop</w:t>
      </w:r>
      <w:proofErr w:type="spellEnd"/>
      <w:r w:rsidRPr="3762BA9F">
        <w:rPr>
          <w:rFonts w:ascii="Arial" w:hAnsi="Arial" w:cs="Arial"/>
          <w:color w:val="000000" w:themeColor="text1"/>
          <w:sz w:val="24"/>
          <w:szCs w:val="24"/>
        </w:rPr>
        <w:t xml:space="preserve"> está classificada na categoria de Capital e Empréstimo e com enquadramento no Segmento S5 para fins de aplicação proporcional da regulação prudencial, sujeita ao regime simplificado de gerenciamento contínuo de riscos.</w:t>
      </w:r>
    </w:p>
    <w:p w14:paraId="02EB378F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05D3E35F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3762BA9F">
        <w:rPr>
          <w:rFonts w:ascii="Arial" w:hAnsi="Arial" w:cs="Arial"/>
          <w:color w:val="000000" w:themeColor="text1"/>
          <w:sz w:val="24"/>
          <w:szCs w:val="24"/>
        </w:rPr>
        <w:t xml:space="preserve">Esta política deve ser implementada em consonância e de forma integrada com a política de Gerenciamento de Riscos de Crédito, Política de </w:t>
      </w:r>
      <w:r w:rsidRPr="3762BA9F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Compliance </w:t>
      </w:r>
      <w:r w:rsidRPr="3762BA9F">
        <w:rPr>
          <w:rFonts w:ascii="Arial" w:hAnsi="Arial" w:cs="Arial"/>
          <w:color w:val="000000" w:themeColor="text1"/>
          <w:sz w:val="24"/>
          <w:szCs w:val="24"/>
        </w:rPr>
        <w:t>e Política de Gerenciamento de Risco Operacional.</w:t>
      </w:r>
    </w:p>
    <w:p w14:paraId="6A05A809" w14:textId="77777777" w:rsidR="007A6960" w:rsidRPr="00385AEF" w:rsidRDefault="007A6960" w:rsidP="096D7A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7BC"/>
        </w:rPr>
      </w:pPr>
    </w:p>
    <w:p w14:paraId="5925708F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3762BA9F">
        <w:rPr>
          <w:rFonts w:ascii="Arial" w:hAnsi="Arial" w:cs="Arial"/>
          <w:b/>
          <w:bCs/>
          <w:color w:val="000000" w:themeColor="text1"/>
          <w:sz w:val="24"/>
          <w:szCs w:val="24"/>
        </w:rPr>
        <w:t>2. Conceito</w:t>
      </w:r>
    </w:p>
    <w:p w14:paraId="5A39BBE3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4EE49C25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59D5384">
        <w:rPr>
          <w:rFonts w:ascii="Arial" w:hAnsi="Arial" w:cs="Arial"/>
          <w:color w:val="000000" w:themeColor="text1"/>
          <w:sz w:val="24"/>
          <w:szCs w:val="24"/>
          <w:u w:val="single"/>
        </w:rPr>
        <w:t>Define-se risco de liquidez como</w:t>
      </w:r>
      <w:r w:rsidRPr="059D5384">
        <w:rPr>
          <w:rFonts w:ascii="Arial" w:hAnsi="Arial" w:cs="Arial"/>
          <w:color w:val="000000" w:themeColor="text1"/>
          <w:sz w:val="24"/>
          <w:szCs w:val="24"/>
        </w:rPr>
        <w:t>:</w:t>
      </w:r>
    </w:p>
    <w:p w14:paraId="6DC96C9A" w14:textId="4659A389" w:rsidR="059D5384" w:rsidRDefault="059D5384" w:rsidP="059D5384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1C8F396" w14:textId="2AE2E075" w:rsidR="007A6960" w:rsidRPr="00385AEF" w:rsidRDefault="7BABF6C0" w:rsidP="3762BA9F">
      <w:pPr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</w:rPr>
      </w:pPr>
      <w:r w:rsidRPr="059D538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35F53212" w:rsidRPr="059D5384">
        <w:rPr>
          <w:rFonts w:ascii="Arial" w:hAnsi="Arial" w:cs="Arial"/>
          <w:color w:val="000000" w:themeColor="text1"/>
          <w:sz w:val="24"/>
          <w:szCs w:val="24"/>
        </w:rPr>
        <w:t xml:space="preserve">A possibilidade </w:t>
      </w:r>
      <w:proofErr w:type="gramStart"/>
      <w:r w:rsidR="35F53212" w:rsidRPr="059D5384">
        <w:rPr>
          <w:rFonts w:ascii="Arial" w:hAnsi="Arial" w:cs="Arial"/>
          <w:color w:val="000000" w:themeColor="text1"/>
          <w:sz w:val="24"/>
          <w:szCs w:val="24"/>
        </w:rPr>
        <w:t>da</w:t>
      </w:r>
      <w:proofErr w:type="gramEnd"/>
      <w:r w:rsidR="35F53212" w:rsidRPr="059D538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2451BD17" w:rsidRPr="059D5384">
        <w:rPr>
          <w:rFonts w:ascii="Arial" w:hAnsi="Arial" w:cs="Arial"/>
          <w:sz w:val="24"/>
          <w:szCs w:val="24"/>
        </w:rPr>
        <w:t>FundCoop</w:t>
      </w:r>
      <w:proofErr w:type="spellEnd"/>
      <w:r w:rsidR="35F53212" w:rsidRPr="059D5384">
        <w:rPr>
          <w:rFonts w:ascii="Arial" w:hAnsi="Arial" w:cs="Arial"/>
          <w:color w:val="000000" w:themeColor="text1"/>
          <w:sz w:val="24"/>
          <w:szCs w:val="24"/>
        </w:rPr>
        <w:t xml:space="preserve"> não ser capaz de honrar eficientemente suas obrigações esperadas e inesperadas, correntes e futuras, incluindo as decorrentes de vinculação de garantias, sem afetar suas operações diárias e sem incorrer em perdas significativas;</w:t>
      </w:r>
    </w:p>
    <w:p w14:paraId="6E127D8B" w14:textId="47835156" w:rsidR="007A6960" w:rsidRPr="00385AEF" w:rsidRDefault="007A6960" w:rsidP="059D5384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292C352C" w14:textId="47EC4AB4" w:rsidR="007A6960" w:rsidRPr="00385AEF" w:rsidRDefault="35F53212" w:rsidP="3762BA9F">
      <w:pPr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</w:rPr>
      </w:pPr>
      <w:r w:rsidRPr="059D5384">
        <w:rPr>
          <w:rFonts w:ascii="Arial" w:hAnsi="Arial" w:cs="Arial"/>
          <w:color w:val="000000" w:themeColor="text1"/>
          <w:sz w:val="24"/>
          <w:szCs w:val="24"/>
        </w:rPr>
        <w:t xml:space="preserve">A possibilidade </w:t>
      </w:r>
      <w:proofErr w:type="gramStart"/>
      <w:r w:rsidRPr="059D5384">
        <w:rPr>
          <w:rFonts w:ascii="Arial" w:hAnsi="Arial" w:cs="Arial"/>
          <w:color w:val="000000" w:themeColor="text1"/>
          <w:sz w:val="24"/>
          <w:szCs w:val="24"/>
        </w:rPr>
        <w:t>d</w:t>
      </w:r>
      <w:r w:rsidR="367846BD" w:rsidRPr="059D5384">
        <w:rPr>
          <w:rFonts w:ascii="Arial" w:hAnsi="Arial" w:cs="Arial"/>
          <w:color w:val="000000" w:themeColor="text1"/>
          <w:sz w:val="24"/>
          <w:szCs w:val="24"/>
        </w:rPr>
        <w:t>a</w:t>
      </w:r>
      <w:proofErr w:type="gramEnd"/>
      <w:r w:rsidRPr="059D538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1F3EA6F4" w:rsidRPr="059D5384">
        <w:rPr>
          <w:rFonts w:ascii="Arial" w:hAnsi="Arial" w:cs="Arial"/>
          <w:sz w:val="24"/>
          <w:szCs w:val="24"/>
        </w:rPr>
        <w:t>FundCoop</w:t>
      </w:r>
      <w:proofErr w:type="spellEnd"/>
      <w:r w:rsidRPr="059D5384">
        <w:rPr>
          <w:rFonts w:ascii="Arial" w:hAnsi="Arial" w:cs="Arial"/>
          <w:color w:val="000000" w:themeColor="text1"/>
          <w:sz w:val="24"/>
          <w:szCs w:val="24"/>
        </w:rPr>
        <w:t xml:space="preserve"> não conseguir negociar a preço de mercado uma posição, devido ao seu tamanho elevado em relação ao volume normalmente transacionado ou em razão de alguma descontinuidade no mercado.</w:t>
      </w:r>
    </w:p>
    <w:p w14:paraId="72A3D3EC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63987567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59D5384">
        <w:rPr>
          <w:rFonts w:ascii="Arial" w:hAnsi="Arial" w:cs="Arial"/>
          <w:color w:val="000000" w:themeColor="text1"/>
          <w:sz w:val="24"/>
          <w:szCs w:val="24"/>
          <w:u w:val="single"/>
        </w:rPr>
        <w:t>Define-se o gerenciamento de capital como o processo contínuo de</w:t>
      </w:r>
      <w:r w:rsidRPr="059D5384">
        <w:rPr>
          <w:rFonts w:ascii="Arial" w:hAnsi="Arial" w:cs="Arial"/>
          <w:color w:val="000000" w:themeColor="text1"/>
          <w:sz w:val="24"/>
          <w:szCs w:val="24"/>
        </w:rPr>
        <w:t>:</w:t>
      </w:r>
    </w:p>
    <w:p w14:paraId="529E5186" w14:textId="18F99036" w:rsidR="059D5384" w:rsidRDefault="059D5384" w:rsidP="059D5384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AF08F5B" w14:textId="77777777" w:rsidR="007A6960" w:rsidRPr="00385AEF" w:rsidRDefault="35F53212" w:rsidP="3762BA9F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color w:val="000000"/>
          <w:sz w:val="24"/>
          <w:szCs w:val="24"/>
        </w:rPr>
      </w:pPr>
      <w:r w:rsidRPr="3762BA9F">
        <w:rPr>
          <w:rFonts w:ascii="Arial" w:hAnsi="Arial" w:cs="Arial"/>
          <w:color w:val="000000" w:themeColor="text1"/>
          <w:sz w:val="24"/>
          <w:szCs w:val="24"/>
        </w:rPr>
        <w:t>Monitoramento e controle do capital mantido pela instituição;</w:t>
      </w:r>
    </w:p>
    <w:p w14:paraId="0D0B940D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Arial" w:hAnsi="Arial" w:cs="Arial"/>
          <w:color w:val="000000"/>
          <w:sz w:val="24"/>
          <w:szCs w:val="24"/>
        </w:rPr>
      </w:pPr>
    </w:p>
    <w:p w14:paraId="7D57C6B6" w14:textId="77777777" w:rsidR="007A6960" w:rsidRPr="00385AEF" w:rsidRDefault="35F53212" w:rsidP="3762BA9F">
      <w:pPr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</w:rPr>
      </w:pPr>
      <w:r w:rsidRPr="3762BA9F">
        <w:rPr>
          <w:rFonts w:ascii="Arial" w:hAnsi="Arial" w:cs="Arial"/>
          <w:color w:val="000000" w:themeColor="text1"/>
          <w:sz w:val="24"/>
          <w:szCs w:val="24"/>
        </w:rPr>
        <w:t>Avaliação da necessidade de capital para fazer face aos riscos a que a instituição está exposta;</w:t>
      </w:r>
    </w:p>
    <w:p w14:paraId="0E27B00A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Arial" w:hAnsi="Arial" w:cs="Arial"/>
          <w:color w:val="000000"/>
          <w:sz w:val="24"/>
          <w:szCs w:val="24"/>
        </w:rPr>
      </w:pPr>
    </w:p>
    <w:p w14:paraId="32329AFD" w14:textId="77777777" w:rsidR="007A6960" w:rsidRPr="00385AEF" w:rsidRDefault="35F53212" w:rsidP="3762BA9F">
      <w:pPr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</w:rPr>
      </w:pPr>
      <w:r w:rsidRPr="3762BA9F">
        <w:rPr>
          <w:rFonts w:ascii="Arial" w:hAnsi="Arial" w:cs="Arial"/>
          <w:color w:val="000000" w:themeColor="text1"/>
          <w:sz w:val="24"/>
          <w:szCs w:val="24"/>
        </w:rPr>
        <w:t>Planejamento de metas e de necessidade de capital, considerando os objetivos estratégicos da instituição.</w:t>
      </w:r>
    </w:p>
    <w:p w14:paraId="60061E4C" w14:textId="77777777" w:rsidR="007A6960" w:rsidRPr="00385AEF" w:rsidRDefault="007A6960" w:rsidP="096D7A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87BC"/>
        </w:rPr>
      </w:pPr>
    </w:p>
    <w:p w14:paraId="6AE76EAC" w14:textId="77777777" w:rsidR="007A6960" w:rsidRPr="00385AEF" w:rsidRDefault="35F53212" w:rsidP="096D7A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  <w:r w:rsidRPr="096D7A15">
        <w:rPr>
          <w:rFonts w:ascii="Arial" w:hAnsi="Arial" w:cs="Arial"/>
          <w:b/>
          <w:bCs/>
          <w:color w:val="000000" w:themeColor="text1"/>
        </w:rPr>
        <w:t>3. Abrangência</w:t>
      </w:r>
    </w:p>
    <w:p w14:paraId="44EAFD9C" w14:textId="77777777" w:rsidR="007A6960" w:rsidRPr="00385AEF" w:rsidRDefault="007A6960" w:rsidP="096D7A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14:paraId="530D256D" w14:textId="021C1DE5" w:rsidR="3762BA9F" w:rsidRDefault="35F53212" w:rsidP="059D5384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59D5384">
        <w:rPr>
          <w:rFonts w:ascii="Arial" w:hAnsi="Arial" w:cs="Arial"/>
          <w:color w:val="000000" w:themeColor="text1"/>
          <w:sz w:val="24"/>
          <w:szCs w:val="24"/>
        </w:rPr>
        <w:t>As Diretrizes da política aplicam-se a Diretoria e a Gerência responsável pela função financeira.</w:t>
      </w:r>
    </w:p>
    <w:p w14:paraId="0D429299" w14:textId="2399BA42" w:rsidR="3762BA9F" w:rsidRDefault="3762BA9F" w:rsidP="059D5384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34EC3D9" w14:textId="5521079B" w:rsidR="3762BA9F" w:rsidRDefault="35F53212" w:rsidP="059D5384">
      <w:pPr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59D5384">
        <w:rPr>
          <w:rFonts w:ascii="Arial" w:hAnsi="Arial" w:cs="Arial"/>
          <w:color w:val="000000" w:themeColor="text1"/>
          <w:sz w:val="24"/>
          <w:szCs w:val="24"/>
        </w:rPr>
        <w:t>É obrigação de todo funcionário envolvido conhecer e praticar às diretrizes desta política.</w:t>
      </w:r>
    </w:p>
    <w:p w14:paraId="2D61ECC3" w14:textId="2608838A" w:rsidR="059D5384" w:rsidRDefault="059D5384" w:rsidP="059D5384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13152EF" w14:textId="77777777" w:rsidR="007A6960" w:rsidRPr="00385AEF" w:rsidRDefault="35F53212" w:rsidP="096D7A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  <w:r w:rsidRPr="096D7A15">
        <w:rPr>
          <w:rFonts w:ascii="Arial" w:hAnsi="Arial" w:cs="Arial"/>
          <w:b/>
          <w:bCs/>
          <w:color w:val="000000" w:themeColor="text1"/>
        </w:rPr>
        <w:t>4. Estrutura</w:t>
      </w:r>
    </w:p>
    <w:p w14:paraId="3656B9AB" w14:textId="77777777" w:rsidR="007A6960" w:rsidRPr="00385AEF" w:rsidRDefault="007A6960" w:rsidP="096D7A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406095E6" w14:textId="77777777" w:rsidR="007A6960" w:rsidRPr="00385AEF" w:rsidRDefault="35F53212" w:rsidP="3762BA9F">
      <w:pPr>
        <w:jc w:val="both"/>
        <w:rPr>
          <w:rFonts w:ascii="Arial" w:hAnsi="Arial" w:cs="Arial"/>
          <w:color w:val="000000"/>
          <w:sz w:val="24"/>
          <w:szCs w:val="24"/>
        </w:rPr>
      </w:pPr>
      <w:r w:rsidRPr="3762BA9F">
        <w:rPr>
          <w:rFonts w:ascii="Arial" w:hAnsi="Arial" w:cs="Arial"/>
          <w:color w:val="000000" w:themeColor="text1"/>
          <w:sz w:val="24"/>
          <w:szCs w:val="24"/>
        </w:rPr>
        <w:t xml:space="preserve">A Diretoria Executiva deve assegurar que a instituição mantenha níveis adequados e suficientes de liquidez. </w:t>
      </w:r>
    </w:p>
    <w:p w14:paraId="143AD3DD" w14:textId="2C61E0EA" w:rsidR="007A6960" w:rsidRPr="00385AEF" w:rsidRDefault="35F53212" w:rsidP="096D7A15">
      <w:pPr>
        <w:spacing w:after="0" w:line="240" w:lineRule="auto"/>
        <w:jc w:val="both"/>
        <w:rPr>
          <w:rFonts w:ascii="Arial" w:hAnsi="Arial" w:cs="Arial"/>
          <w:color w:val="000000"/>
        </w:rPr>
      </w:pPr>
      <w:r w:rsidRPr="3762BA9F">
        <w:rPr>
          <w:rFonts w:ascii="Arial" w:hAnsi="Arial" w:cs="Arial"/>
          <w:color w:val="000000" w:themeColor="text1"/>
          <w:sz w:val="24"/>
          <w:szCs w:val="24"/>
        </w:rPr>
        <w:t xml:space="preserve">Para a condução da política de Gerenciamento de Risco de Liquidez e de Capital a </w:t>
      </w:r>
      <w:proofErr w:type="spellStart"/>
      <w:r w:rsidR="59C80EF4" w:rsidRPr="3762BA9F">
        <w:rPr>
          <w:rFonts w:ascii="Arial" w:hAnsi="Arial" w:cs="Arial"/>
          <w:sz w:val="24"/>
          <w:szCs w:val="24"/>
        </w:rPr>
        <w:t>FundCoop</w:t>
      </w:r>
      <w:proofErr w:type="spellEnd"/>
      <w:r w:rsidRPr="3762BA9F">
        <w:rPr>
          <w:rFonts w:ascii="Arial" w:hAnsi="Arial" w:cs="Arial"/>
          <w:color w:val="000000" w:themeColor="text1"/>
          <w:sz w:val="24"/>
          <w:szCs w:val="24"/>
        </w:rPr>
        <w:t xml:space="preserve"> conta com a seguinte estrutura:</w:t>
      </w:r>
    </w:p>
    <w:p w14:paraId="2E42AD66" w14:textId="199C6492" w:rsidR="096D7A15" w:rsidRDefault="096D7A15" w:rsidP="096D7A15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14:paraId="66274F26" w14:textId="77777777" w:rsidR="007A6960" w:rsidRPr="00385AEF" w:rsidRDefault="00074BDB" w:rsidP="007A6960">
      <w:pPr>
        <w:ind w:left="2235"/>
        <w:jc w:val="both"/>
        <w:rPr>
          <w:rFonts w:ascii="Arial" w:hAnsi="Arial" w:cs="Arial"/>
          <w:color w:val="000000"/>
          <w:sz w:val="24"/>
          <w:szCs w:val="24"/>
        </w:rPr>
      </w:pPr>
      <w:r w:rsidRPr="00385AE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42A857B" wp14:editId="07777777">
                <wp:simplePos x="0" y="0"/>
                <wp:positionH relativeFrom="column">
                  <wp:posOffset>2256790</wp:posOffset>
                </wp:positionH>
                <wp:positionV relativeFrom="paragraph">
                  <wp:posOffset>9525</wp:posOffset>
                </wp:positionV>
                <wp:extent cx="1207770" cy="591820"/>
                <wp:effectExtent l="8890" t="9525" r="21590" b="27305"/>
                <wp:wrapNone/>
                <wp:docPr id="8" name="Retângulo de cantos arredondado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7770" cy="5918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A8D08D"/>
                            </a:gs>
                            <a:gs pos="50000">
                              <a:srgbClr val="E2EFD9"/>
                            </a:gs>
                            <a:gs pos="100000">
                              <a:srgbClr val="A8D08D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A8D08D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756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1D30419" w14:textId="77777777" w:rsidR="007A6960" w:rsidRDefault="007A6960" w:rsidP="007A6960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Diretoria Executiva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a="http://schemas.openxmlformats.org/drawingml/2006/main">
            <w:pict w14:anchorId="7F2754C2">
              <v:roundrect id="Retângulo de cantos arredondados 13" style="position:absolute;left:0;text-align:left;margin-left:177.7pt;margin-top:.75pt;width:95.1pt;height:46.6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a8d08d" strokecolor="#a8d08d" strokeweight="1p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">
                <v:fill type="gradient" color2="#e2efd9" angle="135" focus="50%"/>
                <v:shadow on="t" color="#375623" opacity=".5" offset="1pt"/>
                <v:textbox>
                  <w:txbxContent>
                    <w:p w:rsidR="007A6960" w:rsidP="007A6960" w:rsidRDefault="007A6960" w14:paraId="6BB87935" wp14:textId="77777777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Diretoria Executiva</w:t>
                      </w:r>
                    </w:p>
                  </w:txbxContent>
                </v:textbox>
              </v:roundrect>
            </w:pict>
          </mc:Fallback>
        </mc:AlternateContent>
      </w:r>
      <w:r w:rsidRPr="00385AE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299" distR="114299" simplePos="0" relativeHeight="251657216" behindDoc="0" locked="0" layoutInCell="1" allowOverlap="1" wp14:anchorId="491FE964" wp14:editId="07777777">
                <wp:simplePos x="0" y="0"/>
                <wp:positionH relativeFrom="column">
                  <wp:posOffset>2825114</wp:posOffset>
                </wp:positionH>
                <wp:positionV relativeFrom="paragraph">
                  <wp:posOffset>48260</wp:posOffset>
                </wp:positionV>
                <wp:extent cx="0" cy="0"/>
                <wp:effectExtent l="0" t="0" r="0" b="0"/>
                <wp:wrapNone/>
                <wp:docPr id="7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a="http://schemas.openxmlformats.org/drawingml/2006/main">
            <w:pict w14:anchorId="095B4609">
              <v:line id="Conector reto 28" style="position:absolute;z-index:25165721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spid="_x0000_s1026" from="222.45pt,3.8pt" to="222.45pt,3.8pt" w14:anchorId="3203B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"/>
            </w:pict>
          </mc:Fallback>
        </mc:AlternateContent>
      </w:r>
    </w:p>
    <w:p w14:paraId="5BEA78A5" w14:textId="77777777" w:rsidR="007A6960" w:rsidRPr="00385AEF" w:rsidRDefault="007A6960" w:rsidP="007A6960">
      <w:pPr>
        <w:ind w:left="2235"/>
        <w:jc w:val="both"/>
        <w:rPr>
          <w:rFonts w:ascii="Arial" w:hAnsi="Arial" w:cs="Arial"/>
          <w:color w:val="000000"/>
          <w:sz w:val="24"/>
          <w:szCs w:val="24"/>
        </w:rPr>
      </w:pPr>
      <w:r w:rsidRPr="00385AEF">
        <w:rPr>
          <w:rFonts w:ascii="Arial" w:hAnsi="Arial" w:cs="Arial"/>
          <w:color w:val="000000"/>
          <w:sz w:val="24"/>
          <w:szCs w:val="24"/>
        </w:rPr>
        <w:t xml:space="preserve">                                                             </w:t>
      </w:r>
    </w:p>
    <w:p w14:paraId="1D3B5C62" w14:textId="77777777" w:rsidR="007A6960" w:rsidRPr="00385AEF" w:rsidRDefault="00074BDB" w:rsidP="007A6960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385AE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299" distR="114299" simplePos="0" relativeHeight="251655168" behindDoc="0" locked="0" layoutInCell="1" allowOverlap="1" wp14:anchorId="61B13443" wp14:editId="07777777">
                <wp:simplePos x="0" y="0"/>
                <wp:positionH relativeFrom="column">
                  <wp:posOffset>2868294</wp:posOffset>
                </wp:positionH>
                <wp:positionV relativeFrom="paragraph">
                  <wp:posOffset>13970</wp:posOffset>
                </wp:positionV>
                <wp:extent cx="0" cy="919480"/>
                <wp:effectExtent l="0" t="0" r="19050" b="13970"/>
                <wp:wrapNone/>
                <wp:docPr id="6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94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a="http://schemas.openxmlformats.org/drawingml/2006/main">
            <w:pict w14:anchorId="08808CFE">
              <v:line id="Conector reto 28" style="position:absolute;z-index:25165516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spid="_x0000_s1026" from="225.85pt,1.1pt" to="225.85pt,73.5pt" w14:anchorId="15B7AD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"/>
            </w:pict>
          </mc:Fallback>
        </mc:AlternateContent>
      </w:r>
      <w:r w:rsidR="007A6960" w:rsidRPr="00385AEF">
        <w:rPr>
          <w:rFonts w:ascii="Arial" w:hAnsi="Arial" w:cs="Arial"/>
          <w:color w:val="000000"/>
          <w:sz w:val="24"/>
          <w:szCs w:val="24"/>
        </w:rPr>
        <w:t xml:space="preserve">                                </w:t>
      </w:r>
    </w:p>
    <w:p w14:paraId="1EDA5FF9" w14:textId="77777777" w:rsidR="007A6960" w:rsidRPr="00385AEF" w:rsidRDefault="00074BDB" w:rsidP="007A696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85AE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7DF8F7" wp14:editId="07777777">
                <wp:simplePos x="0" y="0"/>
                <wp:positionH relativeFrom="column">
                  <wp:posOffset>2231390</wp:posOffset>
                </wp:positionH>
                <wp:positionV relativeFrom="paragraph">
                  <wp:posOffset>20955</wp:posOffset>
                </wp:positionV>
                <wp:extent cx="1286510" cy="714375"/>
                <wp:effectExtent l="12065" t="11430" r="15875" b="26670"/>
                <wp:wrapNone/>
                <wp:docPr id="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6510" cy="714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A8D08D"/>
                            </a:gs>
                            <a:gs pos="50000">
                              <a:srgbClr val="E2EFD9"/>
                            </a:gs>
                            <a:gs pos="100000">
                              <a:srgbClr val="A8D08D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A8D08D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756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FB7C18A" w14:textId="77777777" w:rsidR="007A6960" w:rsidRDefault="007A6960" w:rsidP="007A6960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 xml:space="preserve">Diretor Responsável pelo GRLC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a="http://schemas.openxmlformats.org/drawingml/2006/main">
            <w:pict w14:anchorId="680DBF25">
              <v:roundrect id="AutoShape 7" style="position:absolute;left:0;text-align:left;margin-left:175.7pt;margin-top:1.65pt;width:101.3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7" fillcolor="#a8d08d" strokecolor="#a8d08d" strokeweight="1p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">
                <v:fill type="gradient" color2="#e2efd9" angle="135" focus="50%"/>
                <v:shadow on="t" color="#375623" opacity=".5" offset="1pt"/>
                <v:textbox>
                  <w:txbxContent>
                    <w:p w:rsidR="007A6960" w:rsidP="007A6960" w:rsidRDefault="007A6960" w14:paraId="23C7375D" wp14:textId="77777777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 xml:space="preserve">Diretor Responsável pelo GRLC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49F31CB" w14:textId="77777777" w:rsidR="007A6960" w:rsidRPr="00385AEF" w:rsidRDefault="007A6960" w:rsidP="007A696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53128261" w14:textId="77777777" w:rsidR="007A6960" w:rsidRPr="00385AEF" w:rsidRDefault="007A6960" w:rsidP="007A69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62486C05" w14:textId="77777777" w:rsidR="007A6960" w:rsidRPr="00385AEF" w:rsidRDefault="007A6960" w:rsidP="007A69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2AB27529" w14:textId="77777777" w:rsidR="007A6960" w:rsidRPr="00385AEF" w:rsidRDefault="00074BDB" w:rsidP="007A69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385AE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299" distR="114299" simplePos="0" relativeHeight="251660288" behindDoc="0" locked="0" layoutInCell="1" allowOverlap="1" wp14:anchorId="6B008B20" wp14:editId="07777777">
                <wp:simplePos x="0" y="0"/>
                <wp:positionH relativeFrom="column">
                  <wp:posOffset>2868294</wp:posOffset>
                </wp:positionH>
                <wp:positionV relativeFrom="paragraph">
                  <wp:posOffset>44450</wp:posOffset>
                </wp:positionV>
                <wp:extent cx="0" cy="203835"/>
                <wp:effectExtent l="0" t="0" r="19050" b="5715"/>
                <wp:wrapNone/>
                <wp:docPr id="3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38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a="http://schemas.openxmlformats.org/drawingml/2006/main">
            <w:pict w14:anchorId="722BB85C">
              <v:line id="Conector reto 28" style="position:absolute;z-index:2516602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spid="_x0000_s1026" from="225.85pt,3.5pt" to="225.85pt,19.55pt" w14:anchorId="028E3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"/>
            </w:pict>
          </mc:Fallback>
        </mc:AlternateContent>
      </w:r>
    </w:p>
    <w:p w14:paraId="5E919A9F" w14:textId="77777777" w:rsidR="007A6960" w:rsidRPr="00385AEF" w:rsidRDefault="00074BDB" w:rsidP="007A69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385AE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18D2223" wp14:editId="07777777">
                <wp:simplePos x="0" y="0"/>
                <wp:positionH relativeFrom="column">
                  <wp:posOffset>4044315</wp:posOffset>
                </wp:positionH>
                <wp:positionV relativeFrom="paragraph">
                  <wp:posOffset>78105</wp:posOffset>
                </wp:positionV>
                <wp:extent cx="1474470" cy="465455"/>
                <wp:effectExtent l="15240" t="11430" r="15240" b="27940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4470" cy="4654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A8D08D"/>
                            </a:gs>
                            <a:gs pos="50000">
                              <a:srgbClr val="E2EFD9"/>
                            </a:gs>
                            <a:gs pos="100000">
                              <a:srgbClr val="A8D08D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A8D08D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756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449363F" w14:textId="77777777" w:rsidR="007A6960" w:rsidRDefault="007A6960" w:rsidP="007A696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 xml:space="preserve">Unidade Financeira/Controles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a="http://schemas.openxmlformats.org/drawingml/2006/main">
            <w:pict w14:anchorId="2E68353F">
              <v:roundrect id="AutoShape 4" style="position:absolute;margin-left:318.45pt;margin-top:6.15pt;width:116.1pt;height:36.6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8" fillcolor="#a8d08d" strokecolor="#a8d08d" strokeweight="1p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">
                <v:fill type="gradient" color2="#e2efd9" angle="135" focus="50%"/>
                <v:shadow on="t" color="#375623" opacity=".5" offset="1pt"/>
                <v:textbox>
                  <w:txbxContent>
                    <w:p w:rsidR="007A6960" w:rsidP="007A6960" w:rsidRDefault="007A6960" w14:paraId="65C2215F" wp14:textId="77777777">
                      <w:pPr>
                        <w:spacing w:after="0" w:line="240" w:lineRule="auto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 xml:space="preserve">Unidade Financeira/Controles </w:t>
                      </w:r>
                    </w:p>
                  </w:txbxContent>
                </v:textbox>
              </v:roundrect>
            </w:pict>
          </mc:Fallback>
        </mc:AlternateContent>
      </w:r>
      <w:r w:rsidRPr="00385AE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A87FA6C" wp14:editId="07777777">
                <wp:simplePos x="0" y="0"/>
                <wp:positionH relativeFrom="column">
                  <wp:posOffset>2256790</wp:posOffset>
                </wp:positionH>
                <wp:positionV relativeFrom="paragraph">
                  <wp:posOffset>94615</wp:posOffset>
                </wp:positionV>
                <wp:extent cx="1261110" cy="487045"/>
                <wp:effectExtent l="8890" t="8890" r="15875" b="27940"/>
                <wp:wrapNone/>
                <wp:docPr id="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1110" cy="4870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A8D08D"/>
                            </a:gs>
                            <a:gs pos="50000">
                              <a:srgbClr val="E2EFD9"/>
                            </a:gs>
                            <a:gs pos="100000">
                              <a:srgbClr val="A8D08D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A8D08D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756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B6DD23D" w14:textId="77777777" w:rsidR="007A6960" w:rsidRDefault="007A6960" w:rsidP="007A6960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 xml:space="preserve">Gerência Administrativa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a="http://schemas.openxmlformats.org/drawingml/2006/main">
            <w:pict w14:anchorId="26A2B0AF">
              <v:roundrect id="AutoShape 6" style="position:absolute;margin-left:177.7pt;margin-top:7.45pt;width:99.3pt;height:38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9" fillcolor="#a8d08d" strokecolor="#a8d08d" strokeweight="1p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">
                <v:fill type="gradient" color2="#e2efd9" angle="135" focus="50%"/>
                <v:shadow on="t" color="#375623" opacity=".5" offset="1pt"/>
                <v:textbox>
                  <w:txbxContent>
                    <w:p w:rsidR="007A6960" w:rsidP="007A6960" w:rsidRDefault="007A6960" w14:paraId="767DD08F" wp14:textId="77777777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 xml:space="preserve">Gerência Administrativa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10EC843" w14:textId="77777777" w:rsidR="007A6960" w:rsidRPr="00385AEF" w:rsidRDefault="00074BDB" w:rsidP="007A69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385AEF">
        <w:rPr>
          <w:rFonts w:ascii="Arial" w:hAnsi="Arial" w:cs="Arial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299" distR="114299" simplePos="0" relativeHeight="251661312" behindDoc="0" locked="0" layoutInCell="1" allowOverlap="1" wp14:anchorId="0A3D3EC2" wp14:editId="07777777">
                <wp:simplePos x="0" y="0"/>
                <wp:positionH relativeFrom="column">
                  <wp:posOffset>3517899</wp:posOffset>
                </wp:positionH>
                <wp:positionV relativeFrom="paragraph">
                  <wp:posOffset>147320</wp:posOffset>
                </wp:positionV>
                <wp:extent cx="526415" cy="0"/>
                <wp:effectExtent l="0" t="0" r="0" b="0"/>
                <wp:wrapNone/>
                <wp:docPr id="28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64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a="http://schemas.openxmlformats.org/drawingml/2006/main">
            <w:pict w14:anchorId="1D8B2A64">
              <v:line id="Conector reto 28" style="position:absolute;z-index:2516613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spid="_x0000_s1026" from="277pt,11.6pt" to="318.45pt,11.6pt" w14:anchorId="05DB68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"/>
            </w:pict>
          </mc:Fallback>
        </mc:AlternateContent>
      </w:r>
    </w:p>
    <w:p w14:paraId="4101652C" w14:textId="77777777" w:rsidR="007A6960" w:rsidRPr="00385AEF" w:rsidRDefault="007A6960" w:rsidP="007A696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1299C43A" w14:textId="55C67BAB" w:rsidR="007A6960" w:rsidRPr="00385AEF" w:rsidRDefault="007A6960" w:rsidP="096D7A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367634FA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3762BA9F">
        <w:rPr>
          <w:rFonts w:ascii="Arial" w:hAnsi="Arial" w:cs="Arial"/>
          <w:b/>
          <w:bCs/>
          <w:color w:val="000000" w:themeColor="text1"/>
          <w:sz w:val="24"/>
          <w:szCs w:val="24"/>
        </w:rPr>
        <w:t>Diretoria Executiva</w:t>
      </w:r>
      <w:r w:rsidRPr="3762BA9F">
        <w:rPr>
          <w:rFonts w:ascii="Arial" w:hAnsi="Arial" w:cs="Arial"/>
          <w:color w:val="000000" w:themeColor="text1"/>
          <w:sz w:val="24"/>
          <w:szCs w:val="24"/>
        </w:rPr>
        <w:t xml:space="preserve"> - </w:t>
      </w:r>
      <w:r w:rsidRPr="3762BA9F">
        <w:rPr>
          <w:rFonts w:ascii="Arial" w:hAnsi="Arial" w:cs="Arial"/>
          <w:sz w:val="24"/>
          <w:szCs w:val="24"/>
        </w:rPr>
        <w:t>Responsável pela tomada de decisões estratégicas quanto a aplicação e destinação de recursos / disponibilidades financeiras da Cooperativa e suporte ao Diretor responsável por Gerenciamento de Riscos de Liquidez e de Gerenciamento de Capital.</w:t>
      </w:r>
      <w:r w:rsidRPr="3762BA9F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4DDBEF00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246A85EA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3762BA9F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Diretor responsável pelo GRLC </w:t>
      </w:r>
      <w:r w:rsidRPr="3762BA9F">
        <w:rPr>
          <w:rFonts w:ascii="Arial" w:hAnsi="Arial" w:cs="Arial"/>
          <w:color w:val="000000" w:themeColor="text1"/>
          <w:sz w:val="24"/>
          <w:szCs w:val="24"/>
        </w:rPr>
        <w:t xml:space="preserve">- </w:t>
      </w:r>
      <w:r w:rsidRPr="3762BA9F">
        <w:rPr>
          <w:rFonts w:ascii="Arial" w:hAnsi="Arial" w:cs="Arial"/>
          <w:sz w:val="24"/>
          <w:szCs w:val="24"/>
        </w:rPr>
        <w:t>Responsável pelo acompanhamento / supervisão da execução do gerenciamento, e pela elaboração do relatório do gerenciamento de risco de liquidez e de capital em conjunto com a Gerência, abrangendo:</w:t>
      </w:r>
    </w:p>
    <w:p w14:paraId="3461D779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0D9FA5F" w14:textId="529A5C9B" w:rsidR="007A6960" w:rsidRPr="00385AEF" w:rsidRDefault="35F53212" w:rsidP="3762BA9F">
      <w:pPr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59D5384">
        <w:rPr>
          <w:rFonts w:ascii="Arial" w:hAnsi="Arial" w:cs="Arial"/>
          <w:sz w:val="24"/>
          <w:szCs w:val="24"/>
        </w:rPr>
        <w:t>Supervisão dos processos e controles relativos à apuração do montante RWAS5 e ao requerimento mínimo d</w:t>
      </w:r>
      <w:r w:rsidR="530C040B" w:rsidRPr="059D5384">
        <w:rPr>
          <w:rFonts w:ascii="Arial" w:hAnsi="Arial" w:cs="Arial"/>
          <w:sz w:val="24"/>
          <w:szCs w:val="24"/>
        </w:rPr>
        <w:t>o Patrimônio em Referência -</w:t>
      </w:r>
      <w:r w:rsidRPr="059D5384">
        <w:rPr>
          <w:rFonts w:ascii="Arial" w:hAnsi="Arial" w:cs="Arial"/>
          <w:sz w:val="24"/>
          <w:szCs w:val="24"/>
        </w:rPr>
        <w:t xml:space="preserve"> PR;</w:t>
      </w:r>
    </w:p>
    <w:p w14:paraId="3CF2D8B6" w14:textId="77777777" w:rsidR="007A6960" w:rsidRPr="00385AEF" w:rsidRDefault="007A6960" w:rsidP="3762BA9F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4AB8DDD" w14:textId="77777777" w:rsidR="007A6960" w:rsidRPr="00385AEF" w:rsidRDefault="35F53212" w:rsidP="3762BA9F">
      <w:pPr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Arial" w:hAnsi="Arial" w:cs="Arial"/>
          <w:sz w:val="24"/>
          <w:szCs w:val="24"/>
        </w:rPr>
      </w:pPr>
      <w:r w:rsidRPr="3762BA9F">
        <w:rPr>
          <w:rFonts w:ascii="Arial" w:hAnsi="Arial" w:cs="Arial"/>
          <w:sz w:val="24"/>
          <w:szCs w:val="24"/>
        </w:rPr>
        <w:t>Elaboração e aprovação do relatório gerencial anual de gerenciamento de risco de liquidez e de capital.</w:t>
      </w:r>
    </w:p>
    <w:p w14:paraId="0FB78278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2306EBB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3762BA9F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Gerência Administrativa </w:t>
      </w:r>
      <w:r w:rsidRPr="3762BA9F">
        <w:rPr>
          <w:rFonts w:ascii="Arial" w:hAnsi="Arial" w:cs="Arial"/>
          <w:color w:val="000000" w:themeColor="text1"/>
          <w:sz w:val="24"/>
          <w:szCs w:val="24"/>
        </w:rPr>
        <w:t>-</w:t>
      </w:r>
      <w:r w:rsidRPr="3762BA9F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3762BA9F">
        <w:rPr>
          <w:rFonts w:ascii="Arial" w:hAnsi="Arial" w:cs="Arial"/>
          <w:sz w:val="24"/>
          <w:szCs w:val="24"/>
        </w:rPr>
        <w:t>Responsável pela execução do Gerenciamento de Risco de Liquidez e de Capital e elaboração do relatório de gerenciamento em conjunto com o diretor responsável.</w:t>
      </w:r>
    </w:p>
    <w:p w14:paraId="1FC39945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374384E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3762BA9F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Unidade Financeira/Controles </w:t>
      </w:r>
      <w:r w:rsidRPr="3762BA9F">
        <w:rPr>
          <w:rFonts w:ascii="Arial" w:hAnsi="Arial" w:cs="Arial"/>
          <w:color w:val="000000" w:themeColor="text1"/>
          <w:sz w:val="24"/>
          <w:szCs w:val="24"/>
        </w:rPr>
        <w:t>-</w:t>
      </w:r>
      <w:r w:rsidRPr="3762BA9F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3762BA9F">
        <w:rPr>
          <w:rFonts w:ascii="Arial" w:hAnsi="Arial" w:cs="Arial"/>
          <w:color w:val="000000" w:themeColor="text1"/>
          <w:sz w:val="24"/>
          <w:szCs w:val="24"/>
        </w:rPr>
        <w:t xml:space="preserve">Responsável pelo controle do GRLC por meio de </w:t>
      </w:r>
      <w:r w:rsidRPr="3762BA9F">
        <w:rPr>
          <w:rFonts w:ascii="Arial" w:hAnsi="Arial" w:cs="Arial"/>
          <w:sz w:val="24"/>
          <w:szCs w:val="24"/>
        </w:rPr>
        <w:t>monitoramento, avaliação e</w:t>
      </w:r>
      <w:r w:rsidRPr="3762BA9F">
        <w:rPr>
          <w:rFonts w:ascii="Arial" w:hAnsi="Arial" w:cs="Arial"/>
          <w:color w:val="000000" w:themeColor="text1"/>
          <w:sz w:val="24"/>
          <w:szCs w:val="24"/>
        </w:rPr>
        <w:t xml:space="preserve"> a </w:t>
      </w:r>
      <w:r w:rsidRPr="3762BA9F">
        <w:rPr>
          <w:rFonts w:ascii="Arial" w:hAnsi="Arial" w:cs="Arial"/>
          <w:sz w:val="24"/>
          <w:szCs w:val="24"/>
        </w:rPr>
        <w:t>identificação de impactos na liquidez</w:t>
      </w:r>
      <w:r w:rsidRPr="3762BA9F">
        <w:rPr>
          <w:rFonts w:ascii="Arial" w:hAnsi="Arial" w:cs="Arial"/>
          <w:color w:val="000000" w:themeColor="text1"/>
          <w:sz w:val="24"/>
          <w:szCs w:val="24"/>
        </w:rPr>
        <w:t xml:space="preserve"> e capital em conjunto com a Gerência Administrativa.</w:t>
      </w:r>
    </w:p>
    <w:p w14:paraId="0562CB0E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74D268AB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3762BA9F">
        <w:rPr>
          <w:rFonts w:ascii="Arial" w:hAnsi="Arial" w:cs="Arial"/>
          <w:color w:val="000000" w:themeColor="text1"/>
          <w:sz w:val="24"/>
          <w:szCs w:val="24"/>
        </w:rPr>
        <w:t>A administração da Cooperativa deve publicar, em conjunto com as demonstrações contábeis, resumo da descrição de sua estrutura de Gerenciamento de Riscos e de Capital - Estrutura Simplificada.</w:t>
      </w:r>
    </w:p>
    <w:p w14:paraId="34CE0A41" w14:textId="77777777" w:rsidR="007A6960" w:rsidRPr="00385AEF" w:rsidRDefault="007A6960" w:rsidP="096D7A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</w:p>
    <w:p w14:paraId="0BF71FD5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3762BA9F">
        <w:rPr>
          <w:rFonts w:ascii="Arial" w:hAnsi="Arial" w:cs="Arial"/>
          <w:b/>
          <w:bCs/>
          <w:color w:val="000000" w:themeColor="text1"/>
          <w:sz w:val="24"/>
          <w:szCs w:val="24"/>
        </w:rPr>
        <w:t>5. Diretrizes</w:t>
      </w:r>
    </w:p>
    <w:p w14:paraId="62EBF3C5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B47C8D4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3762BA9F">
        <w:rPr>
          <w:rFonts w:ascii="Arial" w:hAnsi="Arial" w:cs="Arial"/>
          <w:sz w:val="24"/>
          <w:szCs w:val="24"/>
        </w:rPr>
        <w:t>A Gestão de Risco de liquidez e do Gerenciamento de Capital é fundamental para a continuidade e suficiência de capital da Instituição, uma vez que a falta ou insuficiência de liquidez e/ou de capital podem causar efeitos negativos em sua capacidade operacional, notadamente em períodos de crise.</w:t>
      </w:r>
    </w:p>
    <w:p w14:paraId="6D98A12B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2F750E7" w14:textId="32344F43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3762BA9F">
        <w:rPr>
          <w:rFonts w:ascii="Arial" w:hAnsi="Arial" w:cs="Arial"/>
          <w:sz w:val="24"/>
          <w:szCs w:val="24"/>
        </w:rPr>
        <w:t xml:space="preserve">A Área Financeira da </w:t>
      </w:r>
      <w:proofErr w:type="spellStart"/>
      <w:r w:rsidR="63CFF105" w:rsidRPr="3762BA9F">
        <w:rPr>
          <w:rFonts w:ascii="Arial" w:hAnsi="Arial" w:cs="Arial"/>
          <w:sz w:val="24"/>
          <w:szCs w:val="24"/>
        </w:rPr>
        <w:t>FundCoop</w:t>
      </w:r>
      <w:proofErr w:type="spellEnd"/>
      <w:r w:rsidRPr="3762BA9F">
        <w:rPr>
          <w:rFonts w:ascii="Arial" w:hAnsi="Arial" w:cs="Arial"/>
          <w:sz w:val="24"/>
          <w:szCs w:val="24"/>
        </w:rPr>
        <w:t xml:space="preserve"> tem atuação conservadora e está comprometida em manter uma gestão prudente, é responsável pela administração de fluxo de caixa, casamento de seus ativos e passivos, pelo gerenciamento da liquidez, com o objetivo de atualização dos ativos da Cooperativa em eventuais situações de excedente de caixa.</w:t>
      </w:r>
    </w:p>
    <w:p w14:paraId="2946DB82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FC43A27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3762BA9F">
        <w:rPr>
          <w:rFonts w:ascii="Arial" w:hAnsi="Arial" w:cs="Arial"/>
          <w:sz w:val="24"/>
          <w:szCs w:val="24"/>
        </w:rPr>
        <w:t>Foram definidas as seguintes diretrizes para o gerenciamento de risco de liquidez e de capital:</w:t>
      </w:r>
    </w:p>
    <w:p w14:paraId="5997CC1D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F4BDC26" w14:textId="77777777" w:rsidR="007A6960" w:rsidRPr="00385AEF" w:rsidRDefault="35F53212" w:rsidP="3762BA9F">
      <w:pPr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3762BA9F">
        <w:rPr>
          <w:rFonts w:ascii="Arial" w:hAnsi="Arial" w:cs="Arial"/>
          <w:sz w:val="24"/>
          <w:szCs w:val="24"/>
        </w:rPr>
        <w:t xml:space="preserve">Manutenção de perfil de captação de recursos adequado às necessidades de liquidez esperadas e inesperadas, correntes e futuras, incluindo as decorrentes de exposições não contabilizadas no balanço patrimonial da instituição; </w:t>
      </w:r>
    </w:p>
    <w:p w14:paraId="110FFD37" w14:textId="77777777" w:rsidR="007A6960" w:rsidRPr="00385AEF" w:rsidRDefault="007A6960" w:rsidP="096D7A15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</w:rPr>
      </w:pPr>
    </w:p>
    <w:p w14:paraId="2872FB48" w14:textId="77777777" w:rsidR="007A6960" w:rsidRPr="00385AEF" w:rsidRDefault="35F53212" w:rsidP="3762BA9F">
      <w:pPr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3762BA9F">
        <w:rPr>
          <w:rFonts w:ascii="Arial" w:hAnsi="Arial" w:cs="Arial"/>
          <w:sz w:val="24"/>
          <w:szCs w:val="24"/>
        </w:rPr>
        <w:t>Manutenção de estoque adequado de ativos líquidos no Caixa e em Fundos de Renda Fixa que possam ser prontamente convertidos em caixa para honrar as obrigações perante associados, partes-contrapartes e obrigações administrativas com terceiros;</w:t>
      </w:r>
    </w:p>
    <w:p w14:paraId="6B699379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DCD0A1A" w14:textId="77777777" w:rsidR="007A6960" w:rsidRPr="00385AEF" w:rsidRDefault="35F53212" w:rsidP="3762BA9F">
      <w:pPr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3762BA9F">
        <w:rPr>
          <w:rFonts w:ascii="Arial" w:hAnsi="Arial" w:cs="Arial"/>
          <w:sz w:val="24"/>
          <w:szCs w:val="24"/>
        </w:rPr>
        <w:t>Avaliação das necessidades de liquidez esperadas e inesperadas, correntes e futuras, no horizonte de 90 (noventa) dias;</w:t>
      </w:r>
    </w:p>
    <w:p w14:paraId="3FE9F23F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14:paraId="750C220F" w14:textId="77777777" w:rsidR="007A6960" w:rsidRPr="00385AEF" w:rsidRDefault="35F53212" w:rsidP="3762BA9F">
      <w:pPr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3762BA9F">
        <w:rPr>
          <w:rFonts w:ascii="Arial" w:hAnsi="Arial" w:cs="Arial"/>
          <w:sz w:val="24"/>
          <w:szCs w:val="24"/>
        </w:rPr>
        <w:t xml:space="preserve">Monitoramento contínuo dos níveis de capital e de liquidez; </w:t>
      </w:r>
    </w:p>
    <w:p w14:paraId="1F72F646" w14:textId="77777777" w:rsidR="007A6960" w:rsidRPr="00385AEF" w:rsidRDefault="007A6960" w:rsidP="3762BA9F">
      <w:pPr>
        <w:pStyle w:val="PargrafodaLista"/>
        <w:spacing w:after="0" w:line="240" w:lineRule="auto"/>
        <w:rPr>
          <w:rFonts w:ascii="Arial" w:hAnsi="Arial" w:cs="Arial"/>
          <w:sz w:val="24"/>
          <w:szCs w:val="24"/>
        </w:rPr>
      </w:pPr>
    </w:p>
    <w:p w14:paraId="46C2C4BE" w14:textId="77777777" w:rsidR="007A6960" w:rsidRPr="00385AEF" w:rsidRDefault="35F53212" w:rsidP="3762BA9F">
      <w:pPr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3762BA9F">
        <w:rPr>
          <w:rFonts w:ascii="Arial" w:hAnsi="Arial" w:cs="Arial"/>
          <w:sz w:val="24"/>
          <w:szCs w:val="24"/>
        </w:rPr>
        <w:t>Revisão constante das políticas de capital, investimentos e empréstimos, por envolverem maior volume de recursos financeiros, analisando os impactos no fluxo de caixa através de simulações de cenários no curto, médio e longo prazo;</w:t>
      </w:r>
    </w:p>
    <w:p w14:paraId="08CE6F91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DD81FA2" w14:textId="77777777" w:rsidR="007A6960" w:rsidRPr="00385AEF" w:rsidRDefault="35F53212" w:rsidP="3762BA9F">
      <w:pPr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3762BA9F">
        <w:rPr>
          <w:rFonts w:ascii="Arial" w:hAnsi="Arial" w:cs="Arial"/>
          <w:sz w:val="24"/>
          <w:szCs w:val="24"/>
        </w:rPr>
        <w:t>Análise dos impactos no fluxo de caixa quando do pagamento dos juros ao capital e das sobras liquidas aos associados;</w:t>
      </w:r>
    </w:p>
    <w:p w14:paraId="61CDCEAD" w14:textId="77777777" w:rsidR="007A6960" w:rsidRPr="00385AEF" w:rsidRDefault="007A6960" w:rsidP="3762BA9F">
      <w:pPr>
        <w:pStyle w:val="PargrafodaLista"/>
        <w:spacing w:after="0" w:line="240" w:lineRule="auto"/>
        <w:rPr>
          <w:rFonts w:ascii="Arial" w:hAnsi="Arial" w:cs="Arial"/>
          <w:sz w:val="24"/>
          <w:szCs w:val="24"/>
        </w:rPr>
      </w:pPr>
    </w:p>
    <w:p w14:paraId="1568E5D7" w14:textId="77777777" w:rsidR="007A6960" w:rsidRPr="00385AEF" w:rsidRDefault="35F53212" w:rsidP="3762BA9F">
      <w:pPr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3762BA9F">
        <w:rPr>
          <w:rFonts w:ascii="Arial" w:hAnsi="Arial" w:cs="Arial"/>
          <w:sz w:val="24"/>
          <w:szCs w:val="24"/>
        </w:rPr>
        <w:t>Acompanhamento permanente dos repasses dos descontos em Folha de Pagamento;</w:t>
      </w:r>
    </w:p>
    <w:p w14:paraId="07547A01" w14:textId="679586BE" w:rsidR="0039786A" w:rsidRPr="00385AEF" w:rsidRDefault="0039786A" w:rsidP="096D7A15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34388214" w14:textId="77777777" w:rsidR="007A6960" w:rsidRPr="00385AEF" w:rsidRDefault="35F53212" w:rsidP="3762BA9F">
      <w:pPr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3762BA9F">
        <w:rPr>
          <w:rFonts w:ascii="Arial" w:hAnsi="Arial" w:cs="Arial"/>
        </w:rPr>
        <w:t>D</w:t>
      </w:r>
      <w:r w:rsidRPr="3762BA9F">
        <w:rPr>
          <w:rFonts w:ascii="Arial" w:hAnsi="Arial" w:cs="Arial"/>
          <w:sz w:val="24"/>
          <w:szCs w:val="24"/>
        </w:rPr>
        <w:t>efinição de Plano de Contingência para enfrentar situações de escassez de ativos líquidos, indicando as responsabilidades, as estratégias, os procedimentos e as fontes alternativas de recursos para honrar as obrigações da instituição.</w:t>
      </w:r>
    </w:p>
    <w:p w14:paraId="5043CB0F" w14:textId="77777777" w:rsidR="007A6960" w:rsidRDefault="007A6960" w:rsidP="096D7A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7EFE6F6D" w14:textId="256B66BC" w:rsidR="007A6960" w:rsidRPr="00385AEF" w:rsidRDefault="35F53212" w:rsidP="3762BA9F">
      <w:pPr>
        <w:tabs>
          <w:tab w:val="left" w:pos="836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3762BA9F">
        <w:rPr>
          <w:rFonts w:ascii="Arial" w:hAnsi="Arial" w:cs="Arial"/>
          <w:sz w:val="24"/>
          <w:szCs w:val="24"/>
        </w:rPr>
        <w:t xml:space="preserve">Na gestão de seu risco de liquidez a </w:t>
      </w:r>
      <w:proofErr w:type="spellStart"/>
      <w:r w:rsidR="03B0C3D2" w:rsidRPr="3762BA9F">
        <w:rPr>
          <w:rFonts w:ascii="Arial" w:hAnsi="Arial" w:cs="Arial"/>
          <w:sz w:val="24"/>
          <w:szCs w:val="24"/>
        </w:rPr>
        <w:t>FundCoop</w:t>
      </w:r>
      <w:proofErr w:type="spellEnd"/>
      <w:r w:rsidRPr="3762BA9F">
        <w:rPr>
          <w:rFonts w:ascii="Arial" w:hAnsi="Arial" w:cs="Arial"/>
          <w:sz w:val="24"/>
          <w:szCs w:val="24"/>
        </w:rPr>
        <w:t xml:space="preserve"> manterá disponibilidades mínimas equivalentes ao desembolso previsto para os 30 (trinta) dias seguintes, disponíveis e suficientes para uma boa gestão e enfrentamento de situações de estresse.</w:t>
      </w:r>
    </w:p>
    <w:p w14:paraId="07459315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BE2AD2F" w14:textId="77777777" w:rsidR="007A6960" w:rsidRPr="00385AEF" w:rsidRDefault="35F53212" w:rsidP="096D7A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3762BA9F">
        <w:rPr>
          <w:rFonts w:ascii="Arial" w:hAnsi="Arial" w:cs="Arial"/>
          <w:b/>
          <w:bCs/>
          <w:sz w:val="24"/>
          <w:szCs w:val="24"/>
        </w:rPr>
        <w:t xml:space="preserve">Nota: </w:t>
      </w:r>
      <w:r w:rsidRPr="3762BA9F">
        <w:rPr>
          <w:rFonts w:ascii="Arial" w:hAnsi="Arial" w:cs="Arial"/>
          <w:sz w:val="24"/>
          <w:szCs w:val="24"/>
        </w:rPr>
        <w:t>O monitoramento do nível de liquidez deve considerar todas as operações praticadas no mercado financeiro e de capitais, assim como possíveis exposições contingentes ou inesperadas, incluindo as associadas a serviços de liquidação, a prestação de avais e garantias, e a linhas de crédito e de liquidez contratadas e não utilizadas.</w:t>
      </w:r>
    </w:p>
    <w:p w14:paraId="6537F28F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F030446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3762BA9F">
        <w:rPr>
          <w:rFonts w:ascii="Arial" w:hAnsi="Arial" w:cs="Arial"/>
          <w:b/>
          <w:bCs/>
          <w:color w:val="000000" w:themeColor="text1"/>
          <w:sz w:val="24"/>
          <w:szCs w:val="24"/>
        </w:rPr>
        <w:t>6. Projeções e Monitoramento do Fluxo de Caixa</w:t>
      </w:r>
    </w:p>
    <w:p w14:paraId="6DFB9E20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0E4C9639" w14:textId="6C5A30A6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3762BA9F">
        <w:rPr>
          <w:rFonts w:ascii="Arial" w:hAnsi="Arial" w:cs="Arial"/>
          <w:color w:val="000000" w:themeColor="text1"/>
          <w:sz w:val="24"/>
          <w:szCs w:val="24"/>
        </w:rPr>
        <w:t xml:space="preserve">Anualmente, quando da elaboração do orçamento, a Administração da </w:t>
      </w:r>
      <w:proofErr w:type="spellStart"/>
      <w:r w:rsidR="319693C5" w:rsidRPr="3762BA9F">
        <w:rPr>
          <w:rFonts w:ascii="Arial" w:hAnsi="Arial" w:cs="Arial"/>
          <w:sz w:val="24"/>
          <w:szCs w:val="24"/>
        </w:rPr>
        <w:t>FundCoop</w:t>
      </w:r>
      <w:proofErr w:type="spellEnd"/>
      <w:r w:rsidRPr="3762BA9F">
        <w:rPr>
          <w:rFonts w:ascii="Arial" w:hAnsi="Arial" w:cs="Arial"/>
          <w:color w:val="000000" w:themeColor="text1"/>
          <w:sz w:val="24"/>
          <w:szCs w:val="24"/>
        </w:rPr>
        <w:t xml:space="preserve"> deve projetar o fluxo de caixa para o ano seguinte, considerando a expectativa das entradas de caixa (capitalizações e prestações de empréstimo) e as saídas (pagamento dos compromissos financeiros, liberação de empréstimos e devoluções de capital), além de outros eventos que possam impactar na liquidez da Cooperativa.</w:t>
      </w:r>
    </w:p>
    <w:p w14:paraId="70DF9E56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1BD55B7A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3762BA9F">
        <w:rPr>
          <w:rFonts w:ascii="Arial" w:hAnsi="Arial" w:cs="Arial"/>
          <w:color w:val="000000" w:themeColor="text1"/>
          <w:sz w:val="24"/>
          <w:szCs w:val="24"/>
        </w:rPr>
        <w:t>Mensalmente, quando da realização da reunião da Diretoria Executiva, deve ser elaborado demonstrativo da evolução do fluxo de caixa do mês anterior e presente, sendo projetada a disponibilidade financeira total para o mês seguinte.</w:t>
      </w:r>
    </w:p>
    <w:p w14:paraId="44E871BC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1F8368AF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3762BA9F">
        <w:rPr>
          <w:rFonts w:ascii="Arial" w:hAnsi="Arial" w:cs="Arial"/>
          <w:color w:val="000000" w:themeColor="text1"/>
          <w:sz w:val="24"/>
          <w:szCs w:val="24"/>
        </w:rPr>
        <w:t>Identificados riscos de liquidez quando da elaboração das projeções mencionadas, a Administração deve adotar medidas ou ações ou rever políticas que minimizem esses riscos.</w:t>
      </w:r>
    </w:p>
    <w:p w14:paraId="144A5D23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1A34B906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3762BA9F">
        <w:rPr>
          <w:rFonts w:ascii="Arial" w:hAnsi="Arial" w:cs="Arial"/>
          <w:color w:val="000000" w:themeColor="text1"/>
          <w:sz w:val="24"/>
          <w:szCs w:val="24"/>
        </w:rPr>
        <w:t>Merece atenção especial da Administração a análise do risco de liquidez em situações como a entrada ou saída de empresas ou divisões ou unidades da área de ação da Cooperativa que possam refletir significativamente no número de associados.</w:t>
      </w:r>
    </w:p>
    <w:p w14:paraId="738610EB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779BF58C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3762BA9F">
        <w:rPr>
          <w:rFonts w:ascii="Arial" w:hAnsi="Arial" w:cs="Arial"/>
          <w:color w:val="000000" w:themeColor="text1"/>
          <w:sz w:val="24"/>
          <w:szCs w:val="24"/>
        </w:rPr>
        <w:t>Testes de estresse devem ser realizados periodicamente visando identificar riscos de liquidez.</w:t>
      </w:r>
    </w:p>
    <w:p w14:paraId="637805D2" w14:textId="7D346862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3FC290E8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3762BA9F">
        <w:rPr>
          <w:rFonts w:ascii="Arial" w:hAnsi="Arial" w:cs="Arial"/>
          <w:b/>
          <w:bCs/>
          <w:color w:val="000000" w:themeColor="text1"/>
        </w:rPr>
        <w:t xml:space="preserve">7. </w:t>
      </w:r>
      <w:r w:rsidRPr="3762BA9F">
        <w:rPr>
          <w:rFonts w:ascii="Arial" w:hAnsi="Arial" w:cs="Arial"/>
          <w:b/>
          <w:bCs/>
          <w:color w:val="000000" w:themeColor="text1"/>
          <w:sz w:val="24"/>
          <w:szCs w:val="24"/>
        </w:rPr>
        <w:t>Mecanismo de Mitigação do Risco de Liquidez</w:t>
      </w:r>
    </w:p>
    <w:p w14:paraId="463F29E8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3B7B4B86" w14:textId="5F32D478" w:rsidR="007A6960" w:rsidRPr="00385AEF" w:rsidRDefault="35F53212" w:rsidP="059D538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59D5384">
        <w:rPr>
          <w:rFonts w:ascii="Arial" w:hAnsi="Arial" w:cs="Arial"/>
          <w:sz w:val="24"/>
          <w:szCs w:val="24"/>
        </w:rPr>
        <w:t>A Cooperativa opera somente com o capital dos associados, sendo que não há outra fonte de recursos com custo acessível, portanto quando há risco de liquidez, a Administração deve adotar as seguintes medidas ou ações para sua mitigação:</w:t>
      </w:r>
    </w:p>
    <w:p w14:paraId="09488E91" w14:textId="45B21C76" w:rsidR="059D5384" w:rsidRDefault="059D5384" w:rsidP="059D538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1933989" w14:textId="31BB8EE1" w:rsidR="059D5384" w:rsidRDefault="059D5384" w:rsidP="059D538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DB098F7" w14:textId="3AEA1072" w:rsidR="059D5384" w:rsidRDefault="059D5384" w:rsidP="059D538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A0FF5F2" w14:textId="0565F7D2" w:rsidR="007A6960" w:rsidRPr="00385AEF" w:rsidRDefault="35F53212" w:rsidP="059D5384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59D5384">
        <w:rPr>
          <w:rFonts w:ascii="Arial" w:hAnsi="Arial" w:cs="Arial"/>
          <w:sz w:val="24"/>
          <w:szCs w:val="24"/>
        </w:rPr>
        <w:t>Restringir a política de empréstimo temporariamente ou permanentemente em casos mais extremos, através das seguintes medidas:</w:t>
      </w:r>
    </w:p>
    <w:p w14:paraId="7DE2161B" w14:textId="304354BB" w:rsidR="059D5384" w:rsidRDefault="059D5384" w:rsidP="059D5384">
      <w:pPr>
        <w:tabs>
          <w:tab w:val="left" w:pos="284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936B4EB" w14:textId="77777777" w:rsidR="007A6960" w:rsidRPr="00385AEF" w:rsidRDefault="35F53212" w:rsidP="3762BA9F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Arial Nova" w:eastAsia="Arial Nova" w:hAnsi="Arial Nova" w:cs="Arial Nova"/>
          <w:sz w:val="24"/>
          <w:szCs w:val="24"/>
        </w:rPr>
      </w:pPr>
      <w:r w:rsidRPr="3762BA9F">
        <w:rPr>
          <w:rFonts w:ascii="Arial Nova" w:eastAsia="Arial Nova" w:hAnsi="Arial Nova" w:cs="Arial Nova"/>
          <w:sz w:val="24"/>
          <w:szCs w:val="24"/>
        </w:rPr>
        <w:t>Aumento das carências;</w:t>
      </w:r>
    </w:p>
    <w:p w14:paraId="29D6B04F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 Nova" w:eastAsia="Arial Nova" w:hAnsi="Arial Nova" w:cs="Arial Nova"/>
          <w:sz w:val="24"/>
          <w:szCs w:val="24"/>
        </w:rPr>
      </w:pPr>
      <w:r w:rsidRPr="3762BA9F">
        <w:rPr>
          <w:rFonts w:ascii="Arial Nova" w:eastAsia="Arial Nova" w:hAnsi="Arial Nova" w:cs="Arial Nova"/>
          <w:sz w:val="24"/>
          <w:szCs w:val="24"/>
        </w:rPr>
        <w:t xml:space="preserve"> </w:t>
      </w:r>
    </w:p>
    <w:p w14:paraId="7DB4CFE2" w14:textId="77777777" w:rsidR="007A6960" w:rsidRPr="00385AEF" w:rsidRDefault="35F53212" w:rsidP="3762BA9F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Arial Nova" w:eastAsia="Arial Nova" w:hAnsi="Arial Nova" w:cs="Arial Nova"/>
          <w:sz w:val="24"/>
          <w:szCs w:val="24"/>
        </w:rPr>
      </w:pPr>
      <w:r w:rsidRPr="3762BA9F">
        <w:rPr>
          <w:rFonts w:ascii="Arial Nova" w:eastAsia="Arial Nova" w:hAnsi="Arial Nova" w:cs="Arial Nova"/>
          <w:sz w:val="24"/>
          <w:szCs w:val="24"/>
        </w:rPr>
        <w:t>Redução dos limites de crédito;</w:t>
      </w:r>
    </w:p>
    <w:p w14:paraId="5630AD66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 Nova" w:eastAsia="Arial Nova" w:hAnsi="Arial Nova" w:cs="Arial Nova"/>
          <w:sz w:val="24"/>
          <w:szCs w:val="24"/>
        </w:rPr>
      </w:pPr>
    </w:p>
    <w:p w14:paraId="59943F49" w14:textId="77777777" w:rsidR="007A6960" w:rsidRPr="00385AEF" w:rsidRDefault="35F53212" w:rsidP="3762BA9F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Arial Nova" w:eastAsia="Arial Nova" w:hAnsi="Arial Nova" w:cs="Arial Nova"/>
          <w:sz w:val="24"/>
          <w:szCs w:val="24"/>
        </w:rPr>
      </w:pPr>
      <w:r w:rsidRPr="3762BA9F">
        <w:rPr>
          <w:rFonts w:ascii="Arial Nova" w:eastAsia="Arial Nova" w:hAnsi="Arial Nova" w:cs="Arial Nova"/>
          <w:sz w:val="24"/>
          <w:szCs w:val="24"/>
        </w:rPr>
        <w:t>Redução dos prazos de pagamento;</w:t>
      </w:r>
    </w:p>
    <w:p w14:paraId="61829076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 Nova" w:eastAsia="Arial Nova" w:hAnsi="Arial Nova" w:cs="Arial Nova"/>
          <w:sz w:val="24"/>
          <w:szCs w:val="24"/>
        </w:rPr>
      </w:pPr>
    </w:p>
    <w:p w14:paraId="2DEC8565" w14:textId="77777777" w:rsidR="007A6960" w:rsidRPr="00385AEF" w:rsidRDefault="35F53212" w:rsidP="3762BA9F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Arial Nova" w:eastAsia="Arial Nova" w:hAnsi="Arial Nova" w:cs="Arial Nova"/>
          <w:sz w:val="24"/>
          <w:szCs w:val="24"/>
        </w:rPr>
      </w:pPr>
      <w:r w:rsidRPr="3762BA9F">
        <w:rPr>
          <w:rFonts w:ascii="Arial Nova" w:eastAsia="Arial Nova" w:hAnsi="Arial Nova" w:cs="Arial Nova"/>
          <w:sz w:val="24"/>
          <w:szCs w:val="24"/>
        </w:rPr>
        <w:t>Interrupção das liberações de empréstimo não enquadradas na Política de Empréstimos;</w:t>
      </w:r>
    </w:p>
    <w:p w14:paraId="2BA226A1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 Nova" w:eastAsia="Arial Nova" w:hAnsi="Arial Nova" w:cs="Arial Nova"/>
          <w:sz w:val="24"/>
          <w:szCs w:val="24"/>
        </w:rPr>
      </w:pPr>
    </w:p>
    <w:p w14:paraId="63639A23" w14:textId="77777777" w:rsidR="007A6960" w:rsidRPr="00385AEF" w:rsidRDefault="700D9C37" w:rsidP="3762BA9F">
      <w:pPr>
        <w:autoSpaceDE w:val="0"/>
        <w:autoSpaceDN w:val="0"/>
        <w:adjustRightInd w:val="0"/>
        <w:spacing w:after="0" w:line="240" w:lineRule="auto"/>
        <w:ind w:left="720" w:hanging="294"/>
        <w:jc w:val="both"/>
        <w:rPr>
          <w:rFonts w:ascii="Arial Nova" w:eastAsia="Arial Nova" w:hAnsi="Arial Nova" w:cs="Arial Nova"/>
          <w:sz w:val="24"/>
          <w:szCs w:val="24"/>
        </w:rPr>
      </w:pPr>
      <w:r w:rsidRPr="3762BA9F">
        <w:rPr>
          <w:rFonts w:ascii="Arial Nova" w:eastAsia="Arial Nova" w:hAnsi="Arial Nova" w:cs="Arial Nova"/>
          <w:sz w:val="24"/>
          <w:szCs w:val="24"/>
        </w:rPr>
        <w:t xml:space="preserve">I - </w:t>
      </w:r>
      <w:r w:rsidR="35F53212" w:rsidRPr="3762BA9F">
        <w:rPr>
          <w:rFonts w:ascii="Arial Nova" w:eastAsia="Arial Nova" w:hAnsi="Arial Nova" w:cs="Arial Nova"/>
          <w:sz w:val="24"/>
          <w:szCs w:val="24"/>
        </w:rPr>
        <w:t>Fortalecer a política de capitalização;</w:t>
      </w:r>
    </w:p>
    <w:p w14:paraId="17AD93B2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 Nova" w:eastAsia="Arial Nova" w:hAnsi="Arial Nova" w:cs="Arial Nova"/>
          <w:sz w:val="24"/>
          <w:szCs w:val="24"/>
        </w:rPr>
      </w:pPr>
    </w:p>
    <w:p w14:paraId="364ABA13" w14:textId="77777777" w:rsidR="007A6960" w:rsidRDefault="700D9C37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 Nova" w:eastAsia="Arial Nova" w:hAnsi="Arial Nova" w:cs="Arial Nova"/>
          <w:sz w:val="24"/>
          <w:szCs w:val="24"/>
        </w:rPr>
      </w:pPr>
      <w:r w:rsidRPr="3762BA9F">
        <w:rPr>
          <w:rFonts w:ascii="Arial Nova" w:eastAsia="Arial Nova" w:hAnsi="Arial Nova" w:cs="Arial Nova"/>
          <w:sz w:val="24"/>
          <w:szCs w:val="24"/>
        </w:rPr>
        <w:t xml:space="preserve">      II</w:t>
      </w:r>
      <w:r w:rsidRPr="3762BA9F">
        <w:rPr>
          <w:rFonts w:ascii="Arial Nova" w:eastAsia="Arial Nova" w:hAnsi="Arial Nova" w:cs="Arial Nova"/>
          <w:b/>
          <w:bCs/>
          <w:sz w:val="24"/>
          <w:szCs w:val="24"/>
        </w:rPr>
        <w:t xml:space="preserve"> </w:t>
      </w:r>
      <w:r w:rsidRPr="3762BA9F">
        <w:rPr>
          <w:rFonts w:ascii="Arial Nova" w:eastAsia="Arial Nova" w:hAnsi="Arial Nova" w:cs="Arial Nova"/>
          <w:sz w:val="24"/>
          <w:szCs w:val="24"/>
        </w:rPr>
        <w:t>-</w:t>
      </w:r>
      <w:r w:rsidR="35F53212" w:rsidRPr="3762BA9F">
        <w:rPr>
          <w:rFonts w:ascii="Arial Nova" w:eastAsia="Arial Nova" w:hAnsi="Arial Nova" w:cs="Arial Nova"/>
          <w:sz w:val="24"/>
          <w:szCs w:val="24"/>
        </w:rPr>
        <w:t xml:space="preserve">Incentivar aportes de capital extraordinários aos </w:t>
      </w:r>
      <w:r w:rsidRPr="3762BA9F">
        <w:rPr>
          <w:rFonts w:ascii="Arial Nova" w:eastAsia="Arial Nova" w:hAnsi="Arial Nova" w:cs="Arial Nova"/>
          <w:sz w:val="24"/>
          <w:szCs w:val="24"/>
        </w:rPr>
        <w:t>cooperados;</w:t>
      </w:r>
    </w:p>
    <w:p w14:paraId="66204FF1" w14:textId="399EDEBA" w:rsidR="007A6960" w:rsidRPr="00385AEF" w:rsidRDefault="007A6960" w:rsidP="059D5384">
      <w:pPr>
        <w:autoSpaceDE w:val="0"/>
        <w:autoSpaceDN w:val="0"/>
        <w:adjustRightInd w:val="0"/>
        <w:spacing w:after="0" w:line="240" w:lineRule="auto"/>
        <w:jc w:val="both"/>
        <w:rPr>
          <w:rFonts w:ascii="Arial Nova" w:eastAsia="Arial Nova" w:hAnsi="Arial Nova" w:cs="Arial Nova"/>
          <w:sz w:val="24"/>
          <w:szCs w:val="24"/>
        </w:rPr>
      </w:pPr>
    </w:p>
    <w:p w14:paraId="0678DF48" w14:textId="0E2296B2" w:rsidR="007A6960" w:rsidRPr="0034679C" w:rsidRDefault="700D9C37" w:rsidP="3762BA9F">
      <w:pPr>
        <w:autoSpaceDE w:val="0"/>
        <w:autoSpaceDN w:val="0"/>
        <w:adjustRightInd w:val="0"/>
        <w:spacing w:after="0" w:line="240" w:lineRule="auto"/>
        <w:ind w:left="993" w:hanging="567"/>
        <w:jc w:val="both"/>
        <w:rPr>
          <w:rFonts w:ascii="Arial Nova" w:eastAsia="Arial Nova" w:hAnsi="Arial Nova" w:cs="Arial Nova"/>
          <w:sz w:val="24"/>
          <w:szCs w:val="24"/>
        </w:rPr>
      </w:pPr>
      <w:r w:rsidRPr="059D5384">
        <w:rPr>
          <w:rFonts w:ascii="Arial Nova" w:eastAsia="Arial Nova" w:hAnsi="Arial Nova" w:cs="Arial Nova"/>
          <w:sz w:val="24"/>
          <w:szCs w:val="24"/>
        </w:rPr>
        <w:t>I</w:t>
      </w:r>
      <w:r w:rsidR="2DED0270" w:rsidRPr="059D5384">
        <w:rPr>
          <w:rFonts w:ascii="Arial Nova" w:eastAsia="Arial Nova" w:hAnsi="Arial Nova" w:cs="Arial Nova"/>
          <w:sz w:val="24"/>
          <w:szCs w:val="24"/>
        </w:rPr>
        <w:t>II</w:t>
      </w:r>
      <w:r w:rsidRPr="059D5384">
        <w:rPr>
          <w:rFonts w:ascii="Arial Nova" w:eastAsia="Arial Nova" w:hAnsi="Arial Nova" w:cs="Arial Nova"/>
          <w:sz w:val="24"/>
          <w:szCs w:val="24"/>
        </w:rPr>
        <w:t xml:space="preserve">- </w:t>
      </w:r>
      <w:r w:rsidR="50A24944" w:rsidRPr="059D5384">
        <w:rPr>
          <w:rFonts w:ascii="Arial Nova" w:eastAsia="Arial Nova" w:hAnsi="Arial Nova" w:cs="Arial Nova"/>
          <w:sz w:val="24"/>
          <w:szCs w:val="24"/>
        </w:rPr>
        <w:t>Não efetuar ou evitar o pagamento ao associado de juros ao capital ou sobras liquidas até estabelecimento do equilíbrio</w:t>
      </w:r>
      <w:r w:rsidR="35F53212" w:rsidRPr="059D5384">
        <w:rPr>
          <w:rFonts w:ascii="Arial Nova" w:eastAsia="Arial Nova" w:hAnsi="Arial Nova" w:cs="Arial Nova"/>
          <w:sz w:val="24"/>
          <w:szCs w:val="24"/>
        </w:rPr>
        <w:t>;</w:t>
      </w:r>
    </w:p>
    <w:p w14:paraId="2DBF0D7D" w14:textId="77777777" w:rsidR="007A6960" w:rsidRDefault="007A6960" w:rsidP="3762BA9F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 Nova" w:eastAsia="Arial Nova" w:hAnsi="Arial Nova" w:cs="Arial Nova"/>
          <w:sz w:val="24"/>
          <w:szCs w:val="24"/>
        </w:rPr>
      </w:pPr>
    </w:p>
    <w:p w14:paraId="75992DAD" w14:textId="7703604E" w:rsidR="00A65012" w:rsidRDefault="1797212A" w:rsidP="3762BA9F">
      <w:p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Arial Nova" w:eastAsia="Arial Nova" w:hAnsi="Arial Nova" w:cs="Arial Nova"/>
          <w:sz w:val="24"/>
          <w:szCs w:val="24"/>
        </w:rPr>
      </w:pPr>
      <w:r w:rsidRPr="059D5384">
        <w:rPr>
          <w:rFonts w:ascii="Arial Nova" w:eastAsia="Arial Nova" w:hAnsi="Arial Nova" w:cs="Arial Nova"/>
          <w:sz w:val="24"/>
          <w:szCs w:val="24"/>
        </w:rPr>
        <w:t>I</w:t>
      </w:r>
      <w:r w:rsidR="700D9C37" w:rsidRPr="059D5384">
        <w:rPr>
          <w:rFonts w:ascii="Arial Nova" w:eastAsia="Arial Nova" w:hAnsi="Arial Nova" w:cs="Arial Nova"/>
          <w:sz w:val="24"/>
          <w:szCs w:val="24"/>
        </w:rPr>
        <w:t>V - Parcelar o pagamento de capital aos associados que se desligarem da empresa, conforme previsto no Estatuto Social;</w:t>
      </w:r>
    </w:p>
    <w:p w14:paraId="6B62F1B3" w14:textId="77777777" w:rsidR="007A6960" w:rsidRDefault="007A6960" w:rsidP="3762BA9F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 Nova" w:eastAsia="Arial Nova" w:hAnsi="Arial Nova" w:cs="Arial Nova"/>
          <w:sz w:val="24"/>
          <w:szCs w:val="24"/>
        </w:rPr>
      </w:pPr>
    </w:p>
    <w:p w14:paraId="53CF9AFF" w14:textId="0DC132BF" w:rsidR="00A65012" w:rsidRDefault="700D9C37" w:rsidP="3762BA9F">
      <w:pPr>
        <w:autoSpaceDE w:val="0"/>
        <w:autoSpaceDN w:val="0"/>
        <w:adjustRightInd w:val="0"/>
        <w:spacing w:after="0" w:line="240" w:lineRule="auto"/>
        <w:ind w:left="720" w:hanging="294"/>
        <w:jc w:val="both"/>
        <w:rPr>
          <w:rFonts w:ascii="Arial Nova" w:eastAsia="Arial Nova" w:hAnsi="Arial Nova" w:cs="Arial Nova"/>
          <w:sz w:val="24"/>
          <w:szCs w:val="24"/>
        </w:rPr>
      </w:pPr>
      <w:r w:rsidRPr="059D5384">
        <w:rPr>
          <w:rFonts w:ascii="Arial Nova" w:eastAsia="Arial Nova" w:hAnsi="Arial Nova" w:cs="Arial Nova"/>
          <w:b/>
          <w:bCs/>
          <w:sz w:val="24"/>
          <w:szCs w:val="24"/>
        </w:rPr>
        <w:t xml:space="preserve"> </w:t>
      </w:r>
      <w:r w:rsidRPr="059D5384">
        <w:rPr>
          <w:rFonts w:ascii="Arial Nova" w:eastAsia="Arial Nova" w:hAnsi="Arial Nova" w:cs="Arial Nova"/>
          <w:sz w:val="24"/>
          <w:szCs w:val="24"/>
        </w:rPr>
        <w:t>V- Captação de recursos junto às instituições financeiras.</w:t>
      </w:r>
    </w:p>
    <w:p w14:paraId="02F2C34E" w14:textId="77777777" w:rsidR="007A6960" w:rsidRPr="00385AEF" w:rsidRDefault="007A6960" w:rsidP="096D7A15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</w:rPr>
      </w:pPr>
      <w:r w:rsidRPr="00385AEF">
        <w:rPr>
          <w:rFonts w:ascii="Arial" w:hAnsi="Arial" w:cs="Arial"/>
          <w:sz w:val="24"/>
          <w:szCs w:val="24"/>
        </w:rPr>
        <w:tab/>
      </w:r>
    </w:p>
    <w:p w14:paraId="03136904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3762BA9F">
        <w:rPr>
          <w:rFonts w:ascii="Arial" w:hAnsi="Arial" w:cs="Arial"/>
          <w:color w:val="000000" w:themeColor="text1"/>
          <w:sz w:val="24"/>
          <w:szCs w:val="24"/>
        </w:rPr>
        <w:t>Quando o saldo total das disponibilidades financeiras no final do mês for inferior a 1,5 x (uma vez e meia) o valor médio das concessões de empréstimo dos últimos 3 (três) meses, a Administração deve adotar medida ou conjunto de medidas mencionadas neste item visando preservar o equilíbrio do fluxo de caixa da Cooperativa.</w:t>
      </w:r>
    </w:p>
    <w:p w14:paraId="680A4E5D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3A9E1E29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3762BA9F">
        <w:rPr>
          <w:rFonts w:ascii="Arial" w:hAnsi="Arial" w:cs="Arial"/>
          <w:sz w:val="24"/>
          <w:szCs w:val="24"/>
        </w:rPr>
        <w:t>A Cooperativa deve realizar periodicamente testes de estresse com o objetivo de identificar riscos de liquidez, considerando:</w:t>
      </w:r>
    </w:p>
    <w:p w14:paraId="19219836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0186AA2" w14:textId="77777777" w:rsidR="007A6960" w:rsidRPr="00385AEF" w:rsidRDefault="35F53212" w:rsidP="3762BA9F">
      <w:pPr>
        <w:numPr>
          <w:ilvl w:val="0"/>
          <w:numId w:val="3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3762BA9F">
        <w:rPr>
          <w:rFonts w:ascii="Arial" w:hAnsi="Arial" w:cs="Arial"/>
          <w:sz w:val="24"/>
          <w:szCs w:val="24"/>
        </w:rPr>
        <w:t>Cenários de curto e de longo prazo, cujos resultados devem ser considerados ao estabelecer ou rever as políticas, as estratégias, os limites e os mecanismos de mitigação de riscos de liquidez;</w:t>
      </w:r>
    </w:p>
    <w:p w14:paraId="02B75FD4" w14:textId="24F5786F" w:rsidR="35F53212" w:rsidRDefault="35F53212" w:rsidP="059D5384">
      <w:pPr>
        <w:numPr>
          <w:ilvl w:val="0"/>
          <w:numId w:val="3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Arial" w:hAnsi="Arial" w:cs="Arial"/>
          <w:b/>
          <w:bCs/>
          <w:color w:val="000000" w:themeColor="text1"/>
        </w:rPr>
      </w:pPr>
      <w:r w:rsidRPr="059D5384">
        <w:rPr>
          <w:rFonts w:ascii="Arial" w:hAnsi="Arial" w:cs="Arial"/>
          <w:sz w:val="24"/>
          <w:szCs w:val="24"/>
        </w:rPr>
        <w:t>Cenários da composição e concentração das carteiras de empréstimos considerando eventual rescisão de contrato de empresa conveniada</w:t>
      </w:r>
      <w:r w:rsidRPr="059D5384">
        <w:rPr>
          <w:rFonts w:ascii="Arial" w:hAnsi="Arial" w:cs="Arial"/>
        </w:rPr>
        <w:t>.</w:t>
      </w:r>
    </w:p>
    <w:p w14:paraId="786745B1" w14:textId="72DE8F77" w:rsidR="059D5384" w:rsidRDefault="059D5384" w:rsidP="059D5384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28E3F76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3762BA9F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8. Relatórios </w:t>
      </w:r>
      <w:r w:rsidR="72E562F7" w:rsidRPr="3762BA9F">
        <w:rPr>
          <w:rFonts w:ascii="Arial" w:hAnsi="Arial" w:cs="Arial"/>
          <w:b/>
          <w:bCs/>
          <w:color w:val="000000" w:themeColor="text1"/>
          <w:sz w:val="24"/>
          <w:szCs w:val="24"/>
        </w:rPr>
        <w:t>- Monitoramento</w:t>
      </w:r>
    </w:p>
    <w:p w14:paraId="7194DBDC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5A1FD658" w14:textId="77777777" w:rsidR="007A6960" w:rsidRPr="00B3626A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3762BA9F">
        <w:rPr>
          <w:rFonts w:ascii="Arial" w:hAnsi="Arial" w:cs="Arial"/>
          <w:color w:val="000000" w:themeColor="text1"/>
          <w:sz w:val="24"/>
          <w:szCs w:val="24"/>
        </w:rPr>
        <w:t xml:space="preserve">O Diretor Responsável pelo </w:t>
      </w:r>
      <w:r w:rsidRPr="3762BA9F">
        <w:rPr>
          <w:rFonts w:ascii="Arial" w:hAnsi="Arial" w:cs="Arial"/>
          <w:sz w:val="24"/>
          <w:szCs w:val="24"/>
        </w:rPr>
        <w:t xml:space="preserve">Gerenciamento de Riscos com o suporte e apoio da Gerência e da área de controles internos acompanha com periodicidade mensal </w:t>
      </w:r>
      <w:r w:rsidR="42D57651" w:rsidRPr="3762BA9F">
        <w:rPr>
          <w:rFonts w:ascii="Arial" w:hAnsi="Arial" w:cs="Arial"/>
          <w:sz w:val="24"/>
          <w:szCs w:val="24"/>
        </w:rPr>
        <w:t xml:space="preserve">o monitoramento onde contém </w:t>
      </w:r>
      <w:r w:rsidRPr="3762BA9F">
        <w:rPr>
          <w:rFonts w:ascii="Arial" w:hAnsi="Arial" w:cs="Arial"/>
          <w:sz w:val="24"/>
          <w:szCs w:val="24"/>
        </w:rPr>
        <w:t xml:space="preserve">os indicadores de risco de liquidez </w:t>
      </w:r>
      <w:r w:rsidR="4141C1A0" w:rsidRPr="3762BA9F">
        <w:rPr>
          <w:rFonts w:ascii="Arial" w:hAnsi="Arial" w:cs="Arial"/>
          <w:sz w:val="24"/>
          <w:szCs w:val="24"/>
        </w:rPr>
        <w:t xml:space="preserve">e de capital </w:t>
      </w:r>
      <w:r w:rsidRPr="3762BA9F">
        <w:rPr>
          <w:rFonts w:ascii="Arial" w:hAnsi="Arial" w:cs="Arial"/>
          <w:sz w:val="24"/>
          <w:szCs w:val="24"/>
        </w:rPr>
        <w:t xml:space="preserve">para avaliação e posterior aprovação </w:t>
      </w:r>
      <w:r w:rsidR="5F94C840" w:rsidRPr="3762BA9F">
        <w:rPr>
          <w:rFonts w:ascii="Arial" w:hAnsi="Arial" w:cs="Arial"/>
          <w:sz w:val="24"/>
          <w:szCs w:val="24"/>
        </w:rPr>
        <w:t>em Ata da</w:t>
      </w:r>
      <w:r w:rsidRPr="3762BA9F">
        <w:rPr>
          <w:rFonts w:ascii="Arial" w:hAnsi="Arial" w:cs="Arial"/>
          <w:sz w:val="24"/>
          <w:szCs w:val="24"/>
        </w:rPr>
        <w:t xml:space="preserve"> Diretoria Executiva.</w:t>
      </w:r>
    </w:p>
    <w:p w14:paraId="336D8F3A" w14:textId="4C662CDA" w:rsidR="096D7A15" w:rsidRDefault="096D7A15" w:rsidP="096D7A15">
      <w:pPr>
        <w:spacing w:after="0" w:line="240" w:lineRule="auto"/>
        <w:jc w:val="both"/>
        <w:rPr>
          <w:rFonts w:ascii="Arial" w:hAnsi="Arial" w:cs="Arial"/>
        </w:rPr>
      </w:pPr>
    </w:p>
    <w:p w14:paraId="7B1AACFD" w14:textId="77777777" w:rsidR="0037376D" w:rsidRPr="0037376D" w:rsidRDefault="247E60FE" w:rsidP="096D7A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  <w:r w:rsidRPr="096D7A15">
        <w:rPr>
          <w:rFonts w:ascii="Arial" w:hAnsi="Arial" w:cs="Arial"/>
          <w:b/>
          <w:bCs/>
        </w:rPr>
        <w:t xml:space="preserve">8.1 Relatório Anual </w:t>
      </w:r>
    </w:p>
    <w:p w14:paraId="769D0D3C" w14:textId="77777777" w:rsidR="0037376D" w:rsidRDefault="0037376D" w:rsidP="096D7A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1A06C111" w14:textId="081A4287" w:rsidR="007A6960" w:rsidRPr="0037376D" w:rsidRDefault="247E60FE" w:rsidP="059D538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59D5384">
        <w:rPr>
          <w:rFonts w:ascii="Arial" w:hAnsi="Arial" w:cs="Arial"/>
          <w:sz w:val="24"/>
          <w:szCs w:val="24"/>
        </w:rPr>
        <w:t xml:space="preserve">O Diretor Responsável pelo Gerenciamento de Riscos de Liquidez e de Capital com o suporte e apoio da gerência, emitirá relatório gerencial aprovado pela Diretoria Executiva em Ata de Reunião </w:t>
      </w:r>
      <w:proofErr w:type="gramStart"/>
      <w:r w:rsidRPr="059D5384">
        <w:rPr>
          <w:rFonts w:ascii="Arial" w:hAnsi="Arial" w:cs="Arial"/>
          <w:sz w:val="24"/>
          <w:szCs w:val="24"/>
        </w:rPr>
        <w:t>da mesma</w:t>
      </w:r>
      <w:proofErr w:type="gramEnd"/>
      <w:r w:rsidRPr="059D5384">
        <w:rPr>
          <w:rFonts w:ascii="Arial" w:hAnsi="Arial" w:cs="Arial"/>
          <w:sz w:val="24"/>
          <w:szCs w:val="24"/>
        </w:rPr>
        <w:t>, em periodicidade mínima anual para avaliação até 30 de junho d</w:t>
      </w:r>
      <w:r w:rsidR="27F6F421" w:rsidRPr="059D5384">
        <w:rPr>
          <w:rFonts w:ascii="Arial" w:hAnsi="Arial" w:cs="Arial"/>
          <w:sz w:val="24"/>
          <w:szCs w:val="24"/>
        </w:rPr>
        <w:t>o ano</w:t>
      </w:r>
      <w:r w:rsidRPr="059D5384">
        <w:rPr>
          <w:rFonts w:ascii="Arial" w:hAnsi="Arial" w:cs="Arial"/>
          <w:sz w:val="24"/>
          <w:szCs w:val="24"/>
        </w:rPr>
        <w:t xml:space="preserve"> </w:t>
      </w:r>
      <w:r w:rsidR="673BD265" w:rsidRPr="059D5384">
        <w:rPr>
          <w:rFonts w:ascii="Arial" w:hAnsi="Arial" w:cs="Arial"/>
          <w:sz w:val="24"/>
          <w:szCs w:val="24"/>
        </w:rPr>
        <w:t xml:space="preserve">subsequente ao da </w:t>
      </w:r>
      <w:r w:rsidR="5A957E97" w:rsidRPr="059D5384">
        <w:rPr>
          <w:rFonts w:ascii="Arial" w:hAnsi="Arial" w:cs="Arial"/>
          <w:sz w:val="24"/>
          <w:szCs w:val="24"/>
        </w:rPr>
        <w:t>ocorrência</w:t>
      </w:r>
      <w:r w:rsidRPr="059D5384">
        <w:rPr>
          <w:rFonts w:ascii="Arial" w:hAnsi="Arial" w:cs="Arial"/>
          <w:sz w:val="24"/>
          <w:szCs w:val="24"/>
        </w:rPr>
        <w:t>.</w:t>
      </w:r>
    </w:p>
    <w:p w14:paraId="54CD245A" w14:textId="77777777" w:rsidR="0039786A" w:rsidRDefault="0039786A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5AD3207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3762BA9F">
        <w:rPr>
          <w:rFonts w:ascii="Arial" w:hAnsi="Arial" w:cs="Arial"/>
          <w:sz w:val="24"/>
          <w:szCs w:val="24"/>
        </w:rPr>
        <w:t>A Diretoria Executiva deve aprovar os relatórios em reunião e registrá-los em Ata.</w:t>
      </w:r>
    </w:p>
    <w:p w14:paraId="1231BE67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AA4A958" w14:textId="77777777" w:rsidR="007A6960" w:rsidRDefault="35F53212" w:rsidP="096D7A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3762BA9F">
        <w:rPr>
          <w:rFonts w:ascii="Arial" w:hAnsi="Arial" w:cs="Arial"/>
          <w:sz w:val="24"/>
          <w:szCs w:val="24"/>
        </w:rPr>
        <w:t>Os Relatórios permaneceram arquivados na Instituição e a disposição do Banco Central do Brasil pelo prazo de 5 (cinco) anos.</w:t>
      </w:r>
    </w:p>
    <w:p w14:paraId="36FEB5B0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0D7AA69" w14:textId="60B93FC5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3762BA9F">
        <w:rPr>
          <w:rFonts w:ascii="Arial" w:hAnsi="Arial" w:cs="Arial"/>
          <w:b/>
          <w:bCs/>
          <w:color w:val="000000" w:themeColor="text1"/>
          <w:sz w:val="24"/>
          <w:szCs w:val="24"/>
        </w:rPr>
        <w:t>9. Cálculo de Parcelas de Risco para Requerimento de Capital</w:t>
      </w:r>
    </w:p>
    <w:p w14:paraId="6865397E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3762BA9F">
        <w:rPr>
          <w:rFonts w:ascii="Arial" w:hAnsi="Arial" w:cs="Arial"/>
          <w:b/>
          <w:bCs/>
          <w:color w:val="000000" w:themeColor="text1"/>
          <w:sz w:val="24"/>
          <w:szCs w:val="24"/>
        </w:rPr>
        <w:t>9.1 Monitoramento dos níveis de Capital</w:t>
      </w:r>
    </w:p>
    <w:p w14:paraId="7196D064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5C980AE8" w14:textId="38A03772" w:rsidR="007A6960" w:rsidRPr="00385AEF" w:rsidRDefault="35F53212" w:rsidP="059D538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59D5384">
        <w:rPr>
          <w:rFonts w:ascii="Arial" w:hAnsi="Arial" w:cs="Arial"/>
          <w:color w:val="000000" w:themeColor="text1"/>
          <w:sz w:val="24"/>
          <w:szCs w:val="24"/>
        </w:rPr>
        <w:t>O PR (Patrimônio de Referência) é um dos principais indicadores utilizados pelo BACEN, pois serve de parâmetro para o cálculo dos limites operacionais e regulamentares além do cálculo da Basileia. A cooperativa por ser do segmento capital e empréstimo possui como principal componente do PR</w:t>
      </w:r>
      <w:r w:rsidR="22C3DF6A" w:rsidRPr="059D5384">
        <w:rPr>
          <w:rFonts w:ascii="Arial" w:hAnsi="Arial" w:cs="Arial"/>
          <w:color w:val="000000" w:themeColor="text1"/>
          <w:sz w:val="24"/>
          <w:szCs w:val="24"/>
        </w:rPr>
        <w:t xml:space="preserve"> (Patrimônio de Referência)</w:t>
      </w:r>
      <w:r w:rsidRPr="059D5384">
        <w:rPr>
          <w:rFonts w:ascii="Arial" w:hAnsi="Arial" w:cs="Arial"/>
          <w:color w:val="000000" w:themeColor="text1"/>
          <w:sz w:val="24"/>
          <w:szCs w:val="24"/>
        </w:rPr>
        <w:t xml:space="preserve"> o seu capital social, e considerando que cooperativas deste segmento dificilmente possuem capital reduzido, o monitoramento dos níveis de adequados de capital se dará pelo acompanhamento dos indicadores de PR</w:t>
      </w:r>
      <w:r w:rsidR="1903156B" w:rsidRPr="059D5384">
        <w:rPr>
          <w:rFonts w:ascii="Arial" w:hAnsi="Arial" w:cs="Arial"/>
          <w:color w:val="000000" w:themeColor="text1"/>
          <w:sz w:val="24"/>
          <w:szCs w:val="24"/>
        </w:rPr>
        <w:t xml:space="preserve"> (Patrimônio de Referência)</w:t>
      </w:r>
      <w:r w:rsidRPr="059D5384">
        <w:rPr>
          <w:rFonts w:ascii="Arial" w:hAnsi="Arial" w:cs="Arial"/>
          <w:color w:val="000000" w:themeColor="text1"/>
          <w:sz w:val="24"/>
          <w:szCs w:val="24"/>
        </w:rPr>
        <w:t xml:space="preserve"> mínimo de RWAS5 obtidos/emitidos pelo DLO do BACEN.</w:t>
      </w:r>
    </w:p>
    <w:p w14:paraId="34FF1C98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0BC13512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3762BA9F">
        <w:rPr>
          <w:rFonts w:ascii="Arial" w:hAnsi="Arial" w:cs="Arial"/>
          <w:color w:val="000000" w:themeColor="text1"/>
          <w:sz w:val="24"/>
          <w:szCs w:val="24"/>
        </w:rPr>
        <w:t>Os requerimentos mínimos de capital são mensalmente reportados ao Banco Central mediante remessa do Demonstrativo Financeiro (DOC 4010).</w:t>
      </w:r>
    </w:p>
    <w:p w14:paraId="6D072C0D" w14:textId="77777777" w:rsidR="007A6960" w:rsidRPr="00385AEF" w:rsidRDefault="007A6960" w:rsidP="007A69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0363930D" w14:textId="77777777" w:rsidR="007A6960" w:rsidRPr="00385AEF" w:rsidRDefault="27F8A714" w:rsidP="3762BA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3762BA9F">
        <w:rPr>
          <w:rFonts w:ascii="Arial" w:hAnsi="Arial" w:cs="Arial"/>
          <w:b/>
          <w:bCs/>
          <w:color w:val="000000" w:themeColor="text1"/>
          <w:sz w:val="24"/>
          <w:szCs w:val="24"/>
        </w:rPr>
        <w:t>9.2 Requerimento</w:t>
      </w:r>
      <w:r w:rsidR="35F53212" w:rsidRPr="3762BA9F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Mínimo de Patrimônio de Referência Simplificado</w:t>
      </w:r>
    </w:p>
    <w:p w14:paraId="48A21919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36CA47C0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3762BA9F">
        <w:rPr>
          <w:rFonts w:ascii="Arial" w:hAnsi="Arial" w:cs="Arial"/>
          <w:color w:val="000000" w:themeColor="text1"/>
          <w:sz w:val="24"/>
          <w:szCs w:val="24"/>
        </w:rPr>
        <w:t>A parcela relativa à cobertura do risco operacional será somada a parcela relativa à exposição ao risco de crédito, sujeitas ao cálculo do requerimento de capital mediante abordagem padronizada simplificada; consolidando o montante dos ativos ponderados pelo risco na forma simplificada (RWAS5).</w:t>
      </w:r>
    </w:p>
    <w:p w14:paraId="6BD18F9B" w14:textId="77777777" w:rsidR="00943211" w:rsidRDefault="00943211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34F0C898" w14:textId="6CEB7FF2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59D5384">
        <w:rPr>
          <w:rFonts w:ascii="Arial" w:hAnsi="Arial" w:cs="Arial"/>
          <w:color w:val="000000" w:themeColor="text1"/>
          <w:sz w:val="24"/>
          <w:szCs w:val="24"/>
        </w:rPr>
        <w:t xml:space="preserve">A </w:t>
      </w:r>
      <w:proofErr w:type="spellStart"/>
      <w:r w:rsidR="45836CEF" w:rsidRPr="059D5384">
        <w:rPr>
          <w:rFonts w:ascii="Arial" w:hAnsi="Arial" w:cs="Arial"/>
          <w:sz w:val="24"/>
          <w:szCs w:val="24"/>
        </w:rPr>
        <w:t>FundCoop</w:t>
      </w:r>
      <w:proofErr w:type="spellEnd"/>
      <w:r w:rsidRPr="059D5384">
        <w:rPr>
          <w:rFonts w:ascii="Arial" w:hAnsi="Arial" w:cs="Arial"/>
          <w:color w:val="000000" w:themeColor="text1"/>
          <w:sz w:val="24"/>
          <w:szCs w:val="24"/>
        </w:rPr>
        <w:t xml:space="preserve"> enquadrada na metodologia simplificada deve manter, permanentemente, montante de PRS5 em valor superior ao requerimento mínimo estabelecido de 17% (dezessete por cento) do montante RWA</w:t>
      </w:r>
      <w:r w:rsidR="29F8B858" w:rsidRPr="059D5384">
        <w:rPr>
          <w:rFonts w:ascii="Arial" w:hAnsi="Arial" w:cs="Arial"/>
          <w:color w:val="000000" w:themeColor="text1"/>
          <w:sz w:val="24"/>
          <w:szCs w:val="24"/>
        </w:rPr>
        <w:t>S</w:t>
      </w:r>
      <w:r w:rsidRPr="059D5384">
        <w:rPr>
          <w:rFonts w:ascii="Arial" w:hAnsi="Arial" w:cs="Arial"/>
          <w:color w:val="000000" w:themeColor="text1"/>
          <w:sz w:val="24"/>
          <w:szCs w:val="24"/>
        </w:rPr>
        <w:t>5.</w:t>
      </w:r>
    </w:p>
    <w:p w14:paraId="0F3CABC7" w14:textId="67D581C0" w:rsidR="00943211" w:rsidRDefault="00943211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C6A4C20" w14:textId="77777777" w:rsidR="007A6960" w:rsidRPr="00385AEF" w:rsidRDefault="27F8A714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3762BA9F">
        <w:rPr>
          <w:rFonts w:ascii="Arial" w:hAnsi="Arial" w:cs="Arial"/>
          <w:b/>
          <w:bCs/>
          <w:color w:val="000000" w:themeColor="text1"/>
          <w:sz w:val="24"/>
          <w:szCs w:val="24"/>
        </w:rPr>
        <w:t>9.3 Monitoramento</w:t>
      </w:r>
      <w:r w:rsidR="35F53212" w:rsidRPr="3762BA9F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de Enquadramento e Envio do Demonstrativo Financeiro (4010)</w:t>
      </w:r>
    </w:p>
    <w:p w14:paraId="5B08B5D1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23077616" w14:textId="5845666D" w:rsidR="00B3626A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59D5384">
        <w:rPr>
          <w:rFonts w:ascii="Arial" w:hAnsi="Arial" w:cs="Arial"/>
          <w:color w:val="000000" w:themeColor="text1"/>
          <w:sz w:val="24"/>
          <w:szCs w:val="24"/>
        </w:rPr>
        <w:t xml:space="preserve">A </w:t>
      </w:r>
      <w:proofErr w:type="spellStart"/>
      <w:r w:rsidR="2745DF5E" w:rsidRPr="059D5384">
        <w:rPr>
          <w:rFonts w:ascii="Arial" w:hAnsi="Arial" w:cs="Arial"/>
          <w:sz w:val="24"/>
          <w:szCs w:val="24"/>
        </w:rPr>
        <w:t>FundCoop</w:t>
      </w:r>
      <w:proofErr w:type="spellEnd"/>
      <w:r w:rsidRPr="059D5384">
        <w:rPr>
          <w:rFonts w:ascii="Arial" w:hAnsi="Arial" w:cs="Arial"/>
          <w:color w:val="000000" w:themeColor="text1"/>
          <w:sz w:val="24"/>
          <w:szCs w:val="24"/>
        </w:rPr>
        <w:t xml:space="preserve"> mantém monitoramento periódico (semestral) sobre o enquadramento do seu Patrimônio de Referência em relação ao patrimônio de referência exigido correspondente a 17% (dezessete por cento) do montante RWA</w:t>
      </w:r>
      <w:r w:rsidR="6D040271" w:rsidRPr="059D5384">
        <w:rPr>
          <w:rFonts w:ascii="Arial" w:hAnsi="Arial" w:cs="Arial"/>
          <w:color w:val="000000" w:themeColor="text1"/>
          <w:sz w:val="24"/>
          <w:szCs w:val="24"/>
        </w:rPr>
        <w:t>S</w:t>
      </w:r>
      <w:r w:rsidRPr="059D5384">
        <w:rPr>
          <w:rFonts w:ascii="Arial" w:hAnsi="Arial" w:cs="Arial"/>
          <w:color w:val="000000" w:themeColor="text1"/>
          <w:sz w:val="24"/>
          <w:szCs w:val="24"/>
        </w:rPr>
        <w:t>5.</w:t>
      </w:r>
    </w:p>
    <w:p w14:paraId="4E0C5A3B" w14:textId="3124E0C8" w:rsidR="059D5384" w:rsidRDefault="059D5384" w:rsidP="059D5384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4AEDB9B" w14:textId="05B3476F" w:rsidR="059D5384" w:rsidRDefault="059D5384" w:rsidP="059D5384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259A313" w14:textId="148D6742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3762BA9F">
        <w:rPr>
          <w:rFonts w:ascii="Arial" w:hAnsi="Arial" w:cs="Arial"/>
          <w:color w:val="000000" w:themeColor="text1"/>
          <w:sz w:val="24"/>
          <w:szCs w:val="24"/>
        </w:rPr>
        <w:t xml:space="preserve">Antes do envio mensal do Demonstrativo Financeiro (4010) ao órgão regulador, o gestor responsável na </w:t>
      </w:r>
      <w:proofErr w:type="spellStart"/>
      <w:r w:rsidR="67AC420A" w:rsidRPr="3762BA9F">
        <w:rPr>
          <w:rFonts w:ascii="Arial" w:hAnsi="Arial" w:cs="Arial"/>
          <w:sz w:val="24"/>
          <w:szCs w:val="24"/>
        </w:rPr>
        <w:t>FundCoop</w:t>
      </w:r>
      <w:proofErr w:type="spellEnd"/>
      <w:r w:rsidRPr="3762BA9F">
        <w:rPr>
          <w:rFonts w:ascii="Arial" w:hAnsi="Arial" w:cs="Arial"/>
          <w:color w:val="000000" w:themeColor="text1"/>
          <w:sz w:val="24"/>
          <w:szCs w:val="24"/>
        </w:rPr>
        <w:t xml:space="preserve"> deve verificar o enquadramento em relação ao requerimento mínimo do Patrimônio de Referência.</w:t>
      </w:r>
    </w:p>
    <w:p w14:paraId="16DEB4AB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786FE58A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3762BA9F">
        <w:rPr>
          <w:rFonts w:ascii="Arial" w:hAnsi="Arial" w:cs="Arial"/>
          <w:color w:val="000000" w:themeColor="text1"/>
          <w:sz w:val="24"/>
          <w:szCs w:val="24"/>
        </w:rPr>
        <w:t>No caso de desenquadramento, a Gerência reportará a situação ao Diretor responsável para ciência e tomada de providências.</w:t>
      </w:r>
    </w:p>
    <w:p w14:paraId="0AD9C6F4" w14:textId="77777777" w:rsidR="007A6960" w:rsidRPr="00385AEF" w:rsidRDefault="007A6960" w:rsidP="096D7A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14:paraId="295054C9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3762BA9F">
        <w:rPr>
          <w:rFonts w:ascii="Arial" w:hAnsi="Arial" w:cs="Arial"/>
          <w:b/>
          <w:bCs/>
          <w:color w:val="000000" w:themeColor="text1"/>
        </w:rPr>
        <w:t xml:space="preserve">10. </w:t>
      </w:r>
      <w:r w:rsidRPr="3762BA9F">
        <w:rPr>
          <w:rFonts w:ascii="Arial" w:hAnsi="Arial" w:cs="Arial"/>
          <w:b/>
          <w:bCs/>
          <w:color w:val="000000" w:themeColor="text1"/>
          <w:sz w:val="24"/>
          <w:szCs w:val="24"/>
        </w:rPr>
        <w:t>Aprovação, Divulgação e Revisão da Política</w:t>
      </w:r>
    </w:p>
    <w:p w14:paraId="4B1F511A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20CA7F35" w14:textId="402FECF1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7CCA4D31">
        <w:rPr>
          <w:rFonts w:ascii="Arial" w:hAnsi="Arial" w:cs="Arial"/>
          <w:color w:val="000000" w:themeColor="text1"/>
          <w:sz w:val="24"/>
          <w:szCs w:val="24"/>
        </w:rPr>
        <w:t>Esta</w:t>
      </w:r>
      <w:r w:rsidR="609BACF8" w:rsidRPr="7CCA4D31">
        <w:rPr>
          <w:rFonts w:ascii="Arial" w:hAnsi="Arial" w:cs="Arial"/>
          <w:color w:val="000000" w:themeColor="text1"/>
          <w:sz w:val="24"/>
          <w:szCs w:val="24"/>
        </w:rPr>
        <w:t xml:space="preserve"> atualização dessa</w:t>
      </w:r>
      <w:r w:rsidRPr="7CCA4D31">
        <w:rPr>
          <w:rFonts w:ascii="Arial" w:hAnsi="Arial" w:cs="Arial"/>
          <w:color w:val="000000" w:themeColor="text1"/>
          <w:sz w:val="24"/>
          <w:szCs w:val="24"/>
        </w:rPr>
        <w:t xml:space="preserve"> Política de Gerenciamento de Risco de Liquidez e de Capital foi aprovada pela Diretoria </w:t>
      </w:r>
      <w:r w:rsidR="27F8A714" w:rsidRPr="7CCA4D31">
        <w:rPr>
          <w:rFonts w:ascii="Arial" w:hAnsi="Arial" w:cs="Arial"/>
          <w:color w:val="000000" w:themeColor="text1"/>
          <w:sz w:val="24"/>
          <w:szCs w:val="24"/>
        </w:rPr>
        <w:t>Executiva em</w:t>
      </w:r>
      <w:r w:rsidRPr="7CCA4D31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505A73B8" w:rsidRPr="7CCA4D31">
        <w:rPr>
          <w:rFonts w:ascii="Arial" w:hAnsi="Arial" w:cs="Arial"/>
          <w:sz w:val="24"/>
          <w:szCs w:val="24"/>
        </w:rPr>
        <w:t>19</w:t>
      </w:r>
      <w:r w:rsidR="4B7B3888" w:rsidRPr="7CCA4D31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7CCA4D31">
        <w:rPr>
          <w:rFonts w:ascii="Arial" w:hAnsi="Arial" w:cs="Arial"/>
          <w:sz w:val="24"/>
          <w:szCs w:val="24"/>
        </w:rPr>
        <w:t>de</w:t>
      </w:r>
      <w:r w:rsidR="330C653C" w:rsidRPr="7CCA4D31">
        <w:rPr>
          <w:rFonts w:ascii="Arial" w:hAnsi="Arial" w:cs="Arial"/>
          <w:sz w:val="24"/>
          <w:szCs w:val="24"/>
        </w:rPr>
        <w:t xml:space="preserve"> </w:t>
      </w:r>
      <w:r w:rsidR="7D029157" w:rsidRPr="7CCA4D31">
        <w:rPr>
          <w:rFonts w:ascii="Arial" w:hAnsi="Arial" w:cs="Arial"/>
          <w:sz w:val="24"/>
          <w:szCs w:val="24"/>
        </w:rPr>
        <w:t>junho</w:t>
      </w:r>
      <w:r w:rsidR="268A1911" w:rsidRPr="7CCA4D31">
        <w:rPr>
          <w:rFonts w:ascii="Arial" w:hAnsi="Arial" w:cs="Arial"/>
          <w:sz w:val="24"/>
          <w:szCs w:val="24"/>
        </w:rPr>
        <w:t xml:space="preserve"> de</w:t>
      </w:r>
      <w:r w:rsidRPr="7CCA4D31">
        <w:rPr>
          <w:rFonts w:ascii="Arial" w:hAnsi="Arial" w:cs="Arial"/>
          <w:sz w:val="24"/>
          <w:szCs w:val="24"/>
        </w:rPr>
        <w:t xml:space="preserve"> 2024 </w:t>
      </w:r>
      <w:r w:rsidRPr="7CCA4D31">
        <w:rPr>
          <w:rFonts w:ascii="Arial" w:hAnsi="Arial" w:cs="Arial"/>
          <w:color w:val="000000" w:themeColor="text1"/>
          <w:sz w:val="24"/>
          <w:szCs w:val="24"/>
        </w:rPr>
        <w:t>e está sendo publicada e comunicada para todos os funcionários e partes externas relevantes para o necessário cumprimento.</w:t>
      </w:r>
    </w:p>
    <w:p w14:paraId="65F9C3DC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12C75792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3762BA9F">
        <w:rPr>
          <w:rFonts w:ascii="Arial" w:hAnsi="Arial" w:cs="Arial"/>
          <w:color w:val="000000" w:themeColor="text1"/>
          <w:sz w:val="24"/>
          <w:szCs w:val="24"/>
        </w:rPr>
        <w:t>Para assegurar a sua contínua pertinência, adequação e eficácia esta Política será revisada criticamente em periodicidade anual ou quando mudanças significativas exigirem.</w:t>
      </w:r>
    </w:p>
    <w:p w14:paraId="5023141B" w14:textId="364C6C52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531752BF" w14:textId="77777777" w:rsidR="007A6960" w:rsidRPr="00385AE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3762BA9F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11. Regulamentação Associada </w:t>
      </w:r>
    </w:p>
    <w:p w14:paraId="1F3B1409" w14:textId="77777777" w:rsidR="007A6960" w:rsidRPr="00385AEF" w:rsidRDefault="007A6960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176AB05" w14:textId="77777777" w:rsidR="007A6960" w:rsidRPr="004B011F" w:rsidRDefault="35F53212" w:rsidP="3762BA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3762BA9F">
        <w:rPr>
          <w:rFonts w:ascii="Arial" w:hAnsi="Arial" w:cs="Arial"/>
          <w:sz w:val="24"/>
          <w:szCs w:val="24"/>
        </w:rPr>
        <w:t xml:space="preserve">Resolução CMN 4.968/21 de 25 de novembro de 2.021 </w:t>
      </w:r>
      <w:r w:rsidR="70D06CA2" w:rsidRPr="3762BA9F">
        <w:rPr>
          <w:rFonts w:ascii="Arial" w:hAnsi="Arial" w:cs="Arial"/>
          <w:sz w:val="24"/>
          <w:szCs w:val="24"/>
        </w:rPr>
        <w:t>Resolução CMN 4.557</w:t>
      </w:r>
      <w:r w:rsidR="2F7B95C8" w:rsidRPr="3762BA9F">
        <w:rPr>
          <w:rFonts w:ascii="Arial" w:hAnsi="Arial" w:cs="Arial"/>
          <w:sz w:val="24"/>
          <w:szCs w:val="24"/>
        </w:rPr>
        <w:t xml:space="preserve"> </w:t>
      </w:r>
      <w:r w:rsidR="70D06CA2" w:rsidRPr="3762BA9F">
        <w:rPr>
          <w:rFonts w:ascii="Arial" w:hAnsi="Arial" w:cs="Arial"/>
          <w:sz w:val="24"/>
          <w:szCs w:val="24"/>
        </w:rPr>
        <w:t xml:space="preserve">de 23 de fevereiro de 2.017 </w:t>
      </w:r>
      <w:r w:rsidR="2F7B95C8" w:rsidRPr="3762BA9F">
        <w:rPr>
          <w:rFonts w:ascii="Arial" w:hAnsi="Arial" w:cs="Arial"/>
          <w:sz w:val="24"/>
          <w:szCs w:val="24"/>
        </w:rPr>
        <w:t>R</w:t>
      </w:r>
      <w:r w:rsidRPr="3762BA9F">
        <w:rPr>
          <w:rFonts w:ascii="Arial" w:hAnsi="Arial" w:cs="Arial"/>
          <w:sz w:val="24"/>
          <w:szCs w:val="24"/>
        </w:rPr>
        <w:t>esolução CMN 4.595/17 de 28 de agosto de 2.017 Resolução CMN 4.606 de 19 de outubro de 2017 Circular Bacen Nº 3.862, de 7 de dezembro de 2017 Circular Bacen Nº 3.863, de 7 de dezembro de 2017 Carta Circular Nº 3.853, de 19 de dezembro de 2017 Carta Circular Nº 3.854, de 19 de dezembro de 2017.</w:t>
      </w:r>
    </w:p>
    <w:p w14:paraId="1A965116" w14:textId="215AEF7C" w:rsidR="00A43995" w:rsidRDefault="00A43995" w:rsidP="3762BA9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1B85ECF" w14:textId="05B93A3E" w:rsidR="3762BA9F" w:rsidRDefault="3762BA9F" w:rsidP="3762BA9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2F55E72" w14:textId="3DC9FA8D" w:rsidR="007A6960" w:rsidRDefault="215DF341" w:rsidP="3762BA9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3762BA9F">
        <w:rPr>
          <w:rFonts w:ascii="Arial" w:hAnsi="Arial" w:cs="Arial"/>
          <w:sz w:val="24"/>
          <w:szCs w:val="24"/>
        </w:rPr>
        <w:t xml:space="preserve"> </w:t>
      </w:r>
      <w:r w:rsidR="05960277" w:rsidRPr="3762BA9F">
        <w:rPr>
          <w:rFonts w:ascii="Arial" w:hAnsi="Arial" w:cs="Arial"/>
          <w:sz w:val="24"/>
          <w:szCs w:val="24"/>
        </w:rPr>
        <w:t xml:space="preserve"> </w:t>
      </w:r>
      <w:r w:rsidR="35F53212" w:rsidRPr="3762BA9F">
        <w:rPr>
          <w:rFonts w:ascii="Arial" w:hAnsi="Arial" w:cs="Arial"/>
          <w:sz w:val="24"/>
          <w:szCs w:val="24"/>
        </w:rPr>
        <w:t>Diretoria Executiva</w:t>
      </w:r>
    </w:p>
    <w:p w14:paraId="7DF4E37C" w14:textId="77777777" w:rsidR="007A6960" w:rsidRDefault="007A6960" w:rsidP="096D7A15">
      <w:pPr>
        <w:spacing w:after="0" w:line="240" w:lineRule="auto"/>
        <w:jc w:val="both"/>
        <w:rPr>
          <w:rFonts w:ascii="Arial" w:hAnsi="Arial" w:cs="Arial"/>
        </w:rPr>
      </w:pPr>
    </w:p>
    <w:p w14:paraId="44FB30F8" w14:textId="77777777" w:rsidR="00A43995" w:rsidRDefault="00A43995" w:rsidP="096D7A15">
      <w:pPr>
        <w:spacing w:after="0" w:line="240" w:lineRule="auto"/>
        <w:jc w:val="both"/>
        <w:rPr>
          <w:rFonts w:ascii="Arial" w:hAnsi="Arial" w:cs="Arial"/>
        </w:rPr>
      </w:pPr>
    </w:p>
    <w:p w14:paraId="3041E394" w14:textId="2988467D" w:rsidR="009817B5" w:rsidRPr="00385AEF" w:rsidRDefault="009817B5" w:rsidP="059D538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W w:w="11205" w:type="dxa"/>
        <w:tblInd w:w="-1026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0070"/>
      </w:tblGrid>
      <w:tr w:rsidR="007A6960" w:rsidRPr="00385AEF" w14:paraId="449956A3" w14:textId="77777777" w:rsidTr="059D5384">
        <w:trPr>
          <w:trHeight w:val="981"/>
        </w:trPr>
        <w:tc>
          <w:tcPr>
            <w:tcW w:w="11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22B00AE" w14:textId="77777777" w:rsidR="007A6960" w:rsidRPr="00385AEF" w:rsidRDefault="007A6960" w:rsidP="0049350D">
            <w:pPr>
              <w:tabs>
                <w:tab w:val="center" w:pos="4419"/>
                <w:tab w:val="right" w:pos="8838"/>
              </w:tabs>
              <w:spacing w:after="0" w:line="240" w:lineRule="auto"/>
              <w:ind w:left="175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24A4E4F" w14:textId="3ADC836C" w:rsidR="007A6960" w:rsidRPr="00385AEF" w:rsidRDefault="35F53212" w:rsidP="0049350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59D5384">
              <w:rPr>
                <w:rFonts w:ascii="Arial" w:hAnsi="Arial" w:cs="Arial"/>
                <w:sz w:val="24"/>
                <w:szCs w:val="24"/>
              </w:rPr>
              <w:t xml:space="preserve">____________________________                    </w:t>
            </w:r>
            <w:r w:rsidR="32B71159" w:rsidRPr="059D5384">
              <w:rPr>
                <w:rFonts w:ascii="Arial" w:hAnsi="Arial" w:cs="Arial"/>
                <w:sz w:val="24"/>
                <w:szCs w:val="24"/>
              </w:rPr>
              <w:t xml:space="preserve">    </w:t>
            </w:r>
            <w:r w:rsidRPr="059D5384">
              <w:rPr>
                <w:rFonts w:ascii="Arial" w:hAnsi="Arial" w:cs="Arial"/>
                <w:sz w:val="24"/>
                <w:szCs w:val="24"/>
              </w:rPr>
              <w:t>_________________________</w:t>
            </w:r>
          </w:p>
          <w:p w14:paraId="2ADC4A6A" w14:textId="116F2FCE" w:rsidR="007A6960" w:rsidRPr="00385AEF" w:rsidRDefault="35F53212" w:rsidP="0049350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59D5384">
              <w:rPr>
                <w:rFonts w:ascii="Arial" w:hAnsi="Arial" w:cs="Arial"/>
                <w:sz w:val="24"/>
                <w:szCs w:val="24"/>
              </w:rPr>
              <w:t xml:space="preserve">Douglas Moreira de Matos Coelho                    </w:t>
            </w:r>
            <w:r w:rsidR="49EE1AD7" w:rsidRPr="059D5384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59D5384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394662C8" w:rsidRPr="059D538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59D5384">
              <w:rPr>
                <w:rFonts w:ascii="Arial" w:hAnsi="Arial" w:cs="Arial"/>
                <w:sz w:val="24"/>
                <w:szCs w:val="24"/>
              </w:rPr>
              <w:t xml:space="preserve">Aline Malard Neves </w:t>
            </w:r>
            <w:proofErr w:type="spellStart"/>
            <w:r w:rsidRPr="059D5384">
              <w:rPr>
                <w:rFonts w:ascii="Arial" w:hAnsi="Arial" w:cs="Arial"/>
                <w:sz w:val="24"/>
                <w:szCs w:val="24"/>
              </w:rPr>
              <w:t>Frezzolino</w:t>
            </w:r>
            <w:proofErr w:type="spellEnd"/>
          </w:p>
          <w:p w14:paraId="1C80BDB5" w14:textId="63DCF784" w:rsidR="007A6960" w:rsidRPr="00385AEF" w:rsidRDefault="35F53212" w:rsidP="0049350D">
            <w:pPr>
              <w:tabs>
                <w:tab w:val="left" w:pos="708"/>
                <w:tab w:val="left" w:pos="1416"/>
                <w:tab w:val="left" w:pos="6165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59D5384">
              <w:rPr>
                <w:rFonts w:ascii="Arial" w:hAnsi="Arial" w:cs="Arial"/>
                <w:sz w:val="24"/>
                <w:szCs w:val="24"/>
              </w:rPr>
              <w:t xml:space="preserve">Diretor Presidente                                                </w:t>
            </w:r>
            <w:r w:rsidR="59507266" w:rsidRPr="059D5384">
              <w:rPr>
                <w:rFonts w:ascii="Arial" w:hAnsi="Arial" w:cs="Arial"/>
                <w:sz w:val="24"/>
                <w:szCs w:val="24"/>
              </w:rPr>
              <w:t xml:space="preserve">    </w:t>
            </w:r>
            <w:r w:rsidRPr="059D5384">
              <w:rPr>
                <w:rFonts w:ascii="Arial" w:hAnsi="Arial" w:cs="Arial"/>
                <w:sz w:val="24"/>
                <w:szCs w:val="24"/>
              </w:rPr>
              <w:t>Diretora Financeira</w:t>
            </w:r>
          </w:p>
          <w:p w14:paraId="4EAAA62E" w14:textId="31881B75" w:rsidR="007A6960" w:rsidRPr="00385AEF" w:rsidRDefault="35F53212" w:rsidP="096D7A1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59D5384">
              <w:rPr>
                <w:rFonts w:ascii="Arial" w:hAnsi="Arial" w:cs="Arial"/>
                <w:color w:val="000000" w:themeColor="text1"/>
              </w:rPr>
              <w:t>Resp.p</w:t>
            </w:r>
            <w:proofErr w:type="spellEnd"/>
            <w:r w:rsidRPr="059D5384">
              <w:rPr>
                <w:rFonts w:ascii="Arial" w:hAnsi="Arial" w:cs="Arial"/>
                <w:color w:val="000000" w:themeColor="text1"/>
              </w:rPr>
              <w:t>/ Estrut.Simplif.Gerenc.</w:t>
            </w:r>
            <w:r w:rsidR="394D285E" w:rsidRPr="059D5384">
              <w:rPr>
                <w:rFonts w:ascii="Arial" w:hAnsi="Arial" w:cs="Arial"/>
                <w:color w:val="000000" w:themeColor="text1"/>
              </w:rPr>
              <w:t>de</w:t>
            </w:r>
            <w:r w:rsidR="62E2A8F0" w:rsidRPr="059D5384">
              <w:rPr>
                <w:rFonts w:ascii="Arial" w:hAnsi="Arial" w:cs="Arial"/>
                <w:color w:val="000000" w:themeColor="text1"/>
              </w:rPr>
              <w:t xml:space="preserve"> Riscos.</w:t>
            </w:r>
            <w:r w:rsidR="3EDA2B03" w:rsidRPr="059D5384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</w:t>
            </w:r>
            <w:r w:rsidRPr="059D5384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                                                                 </w:t>
            </w:r>
          </w:p>
        </w:tc>
      </w:tr>
    </w:tbl>
    <w:p w14:paraId="0A6959E7" w14:textId="77777777" w:rsidR="007A6960" w:rsidRPr="00385AEF" w:rsidRDefault="007A6960" w:rsidP="007A6960">
      <w:pPr>
        <w:spacing w:after="0" w:line="240" w:lineRule="auto"/>
        <w:jc w:val="both"/>
        <w:rPr>
          <w:rFonts w:ascii="Arial" w:eastAsia="Calibri" w:hAnsi="Arial" w:cs="Arial"/>
          <w:bCs/>
          <w:color w:val="000000"/>
          <w:sz w:val="24"/>
          <w:szCs w:val="24"/>
        </w:rPr>
      </w:pPr>
      <w:r w:rsidRPr="00385AEF">
        <w:rPr>
          <w:rFonts w:ascii="Arial" w:hAnsi="Arial" w:cs="Arial"/>
          <w:sz w:val="24"/>
          <w:szCs w:val="24"/>
        </w:rPr>
        <w:t xml:space="preserve"> </w:t>
      </w:r>
    </w:p>
    <w:p w14:paraId="54833759" w14:textId="4B909164" w:rsidR="059D5384" w:rsidRDefault="059D5384" w:rsidP="059D5384">
      <w:pPr>
        <w:rPr>
          <w:rFonts w:eastAsia="MS Gothic"/>
        </w:rPr>
      </w:pPr>
    </w:p>
    <w:p w14:paraId="49D21824" w14:textId="1CE2B6EE" w:rsidR="739F3306" w:rsidRDefault="739F3306" w:rsidP="059D538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59D5384">
        <w:rPr>
          <w:rFonts w:eastAsia="MS Gothic"/>
        </w:rPr>
        <w:t xml:space="preserve">   </w:t>
      </w:r>
      <w:r w:rsidR="653D0064" w:rsidRPr="059D5384">
        <w:rPr>
          <w:rFonts w:eastAsia="MS Gothic"/>
        </w:rPr>
        <w:t xml:space="preserve"> </w:t>
      </w:r>
      <w:r w:rsidRPr="059D5384">
        <w:rPr>
          <w:rFonts w:ascii="Arial" w:hAnsi="Arial" w:cs="Arial"/>
          <w:sz w:val="24"/>
          <w:szCs w:val="24"/>
        </w:rPr>
        <w:t xml:space="preserve">____________________________                   </w:t>
      </w:r>
    </w:p>
    <w:p w14:paraId="25E315F2" w14:textId="31B7F405" w:rsidR="739F3306" w:rsidRDefault="739F3306" w:rsidP="059D538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59D5384">
        <w:rPr>
          <w:rFonts w:ascii="Arial" w:hAnsi="Arial" w:cs="Arial"/>
        </w:rPr>
        <w:lastRenderedPageBreak/>
        <w:t xml:space="preserve">  </w:t>
      </w:r>
      <w:r w:rsidR="36C97027" w:rsidRPr="059D5384">
        <w:rPr>
          <w:rFonts w:ascii="Arial" w:hAnsi="Arial" w:cs="Arial"/>
        </w:rPr>
        <w:t xml:space="preserve">  </w:t>
      </w:r>
      <w:r w:rsidRPr="059D5384">
        <w:rPr>
          <w:rFonts w:ascii="Arial" w:hAnsi="Arial" w:cs="Arial"/>
          <w:sz w:val="24"/>
          <w:szCs w:val="24"/>
        </w:rPr>
        <w:t>Nelson</w:t>
      </w:r>
      <w:r w:rsidR="29B0C5A4" w:rsidRPr="059D5384">
        <w:rPr>
          <w:rFonts w:ascii="Arial" w:hAnsi="Arial" w:cs="Arial"/>
          <w:sz w:val="24"/>
          <w:szCs w:val="24"/>
        </w:rPr>
        <w:t xml:space="preserve"> Pinheiro Branco Junior</w:t>
      </w:r>
      <w:r w:rsidRPr="059D5384">
        <w:rPr>
          <w:rFonts w:ascii="Arial" w:hAnsi="Arial" w:cs="Arial"/>
          <w:sz w:val="24"/>
          <w:szCs w:val="24"/>
        </w:rPr>
        <w:t xml:space="preserve">                          </w:t>
      </w:r>
    </w:p>
    <w:p w14:paraId="7FE34193" w14:textId="48F288B1" w:rsidR="739F3306" w:rsidRDefault="739F3306" w:rsidP="059D538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59D5384">
        <w:rPr>
          <w:rFonts w:ascii="Arial" w:hAnsi="Arial" w:cs="Arial"/>
          <w:sz w:val="24"/>
          <w:szCs w:val="24"/>
        </w:rPr>
        <w:t xml:space="preserve">  </w:t>
      </w:r>
      <w:r w:rsidR="41125316" w:rsidRPr="059D5384">
        <w:rPr>
          <w:rFonts w:ascii="Arial" w:hAnsi="Arial" w:cs="Arial"/>
          <w:sz w:val="24"/>
          <w:szCs w:val="24"/>
        </w:rPr>
        <w:t xml:space="preserve">  </w:t>
      </w:r>
      <w:r w:rsidRPr="059D5384">
        <w:rPr>
          <w:rFonts w:ascii="Arial" w:hAnsi="Arial" w:cs="Arial"/>
          <w:sz w:val="24"/>
          <w:szCs w:val="24"/>
        </w:rPr>
        <w:t xml:space="preserve">Diretor Administrativo                                    </w:t>
      </w:r>
    </w:p>
    <w:p w14:paraId="1E639FDC" w14:textId="244CAADB" w:rsidR="059D5384" w:rsidRDefault="059D5384" w:rsidP="059D5384">
      <w:pPr>
        <w:rPr>
          <w:rFonts w:eastAsia="MS Gothic"/>
        </w:rPr>
      </w:pPr>
    </w:p>
    <w:sectPr w:rsidR="059D5384" w:rsidSect="00590FCD">
      <w:headerReference w:type="default" r:id="rId11"/>
      <w:footerReference w:type="default" r:id="rId12"/>
      <w:pgSz w:w="11906" w:h="16838" w:code="9"/>
      <w:pgMar w:top="1440" w:right="1080" w:bottom="1440" w:left="1080" w:header="113" w:footer="113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A4BEFA" w14:textId="77777777" w:rsidR="0013329E" w:rsidRDefault="0013329E" w:rsidP="004136C3">
      <w:pPr>
        <w:spacing w:after="0" w:line="240" w:lineRule="auto"/>
      </w:pPr>
      <w:r>
        <w:separator/>
      </w:r>
    </w:p>
  </w:endnote>
  <w:endnote w:type="continuationSeparator" w:id="0">
    <w:p w14:paraId="02533073" w14:textId="77777777" w:rsidR="0013329E" w:rsidRDefault="0013329E" w:rsidP="00413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-Bold">
    <w:altName w:val="Verdan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34F5C7" w14:textId="5BB8C768" w:rsidR="00B707A4" w:rsidRDefault="059D5384" w:rsidP="059D5384">
    <w:pPr>
      <w:pBdr>
        <w:top w:val="thinThickSmallGap" w:sz="24" w:space="1" w:color="622423"/>
      </w:pBdr>
      <w:tabs>
        <w:tab w:val="right" w:pos="9354"/>
      </w:tabs>
      <w:spacing w:after="0" w:line="240" w:lineRule="auto"/>
      <w:rPr>
        <w:rFonts w:ascii="Cambria" w:hAnsi="Cambria" w:cs="Arial"/>
        <w:sz w:val="20"/>
        <w:szCs w:val="20"/>
      </w:rPr>
    </w:pPr>
    <w:r w:rsidRPr="059D5384">
      <w:rPr>
        <w:rFonts w:ascii="Cambria" w:hAnsi="Cambria"/>
        <w:sz w:val="20"/>
        <w:szCs w:val="20"/>
      </w:rPr>
      <w:t>Política de Ger. de Risco de Liquidez e Capital - GRLC</w:t>
    </w:r>
    <w:r w:rsidRPr="059D5384">
      <w:rPr>
        <w:rFonts w:ascii="Arial" w:hAnsi="Arial" w:cs="Arial"/>
        <w:sz w:val="18"/>
        <w:szCs w:val="18"/>
      </w:rPr>
      <w:t xml:space="preserve"> -</w:t>
    </w:r>
    <w:r w:rsidRPr="059D5384">
      <w:rPr>
        <w:rFonts w:ascii="Cambria" w:hAnsi="Cambria"/>
        <w:sz w:val="20"/>
        <w:szCs w:val="20"/>
      </w:rPr>
      <w:t xml:space="preserve"> 2ª Edição</w:t>
    </w:r>
    <w:r w:rsidRPr="059D5384">
      <w:rPr>
        <w:rFonts w:ascii="Arial" w:hAnsi="Arial" w:cs="Arial"/>
        <w:sz w:val="18"/>
        <w:szCs w:val="18"/>
      </w:rPr>
      <w:t xml:space="preserve">                                          </w:t>
    </w:r>
    <w:r w:rsidRPr="059D5384">
      <w:rPr>
        <w:rFonts w:ascii="Cambria" w:hAnsi="Cambria" w:cs="Arial"/>
        <w:sz w:val="20"/>
        <w:szCs w:val="20"/>
      </w:rPr>
      <w:t>Página 1</w:t>
    </w:r>
  </w:p>
  <w:p w14:paraId="592BFF36" w14:textId="741AE444" w:rsidR="096D7A15" w:rsidRDefault="3762BA9F" w:rsidP="3762BA9F">
    <w:pPr>
      <w:pBdr>
        <w:top w:val="thinThickSmallGap" w:sz="24" w:space="1" w:color="622423"/>
      </w:pBdr>
      <w:tabs>
        <w:tab w:val="right" w:pos="9354"/>
      </w:tabs>
      <w:spacing w:after="0" w:line="240" w:lineRule="auto"/>
      <w:rPr>
        <w:rFonts w:ascii="Cambria" w:hAnsi="Cambria"/>
        <w:sz w:val="20"/>
        <w:szCs w:val="20"/>
      </w:rPr>
    </w:pPr>
    <w:r w:rsidRPr="3762BA9F">
      <w:rPr>
        <w:rFonts w:ascii="Cambria" w:hAnsi="Cambria"/>
        <w:sz w:val="20"/>
        <w:szCs w:val="20"/>
      </w:rPr>
      <w:t>Aprovada 09/09/2021                                                                                                                           Atualizada 20/05/2024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653197" w14:textId="77777777" w:rsidR="0013329E" w:rsidRDefault="0013329E" w:rsidP="004136C3">
      <w:pPr>
        <w:spacing w:after="0" w:line="240" w:lineRule="auto"/>
      </w:pPr>
      <w:r>
        <w:separator/>
      </w:r>
    </w:p>
  </w:footnote>
  <w:footnote w:type="continuationSeparator" w:id="0">
    <w:p w14:paraId="59F2E9ED" w14:textId="77777777" w:rsidR="0013329E" w:rsidRDefault="0013329E" w:rsidP="004136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407"/>
      <w:gridCol w:w="9223"/>
    </w:tblGrid>
    <w:tr w:rsidR="096D7A15" w14:paraId="52758284" w14:textId="77777777" w:rsidTr="3762BA9F">
      <w:trPr>
        <w:trHeight w:val="1260"/>
      </w:trPr>
      <w:tc>
        <w:tcPr>
          <w:tcW w:w="407" w:type="dxa"/>
          <w:tcBorders>
            <w:top w:val="single" w:sz="6" w:space="0" w:color="FFFFFF" w:themeColor="background1"/>
            <w:left w:val="single" w:sz="6" w:space="0" w:color="FFFFFF" w:themeColor="background1"/>
            <w:bottom w:val="single" w:sz="6" w:space="0" w:color="FFFFFF" w:themeColor="background1"/>
            <w:right w:val="single" w:sz="6" w:space="0" w:color="FFFFFF" w:themeColor="background1"/>
          </w:tcBorders>
          <w:tcMar>
            <w:left w:w="105" w:type="dxa"/>
            <w:right w:w="105" w:type="dxa"/>
          </w:tcMar>
        </w:tcPr>
        <w:p w14:paraId="0C89E859" w14:textId="52B82640" w:rsidR="096D7A15" w:rsidRDefault="096D7A15" w:rsidP="096D7A15">
          <w:pPr>
            <w:tabs>
              <w:tab w:val="center" w:pos="4419"/>
              <w:tab w:val="right" w:pos="8838"/>
            </w:tabs>
            <w:spacing w:after="0" w:line="240" w:lineRule="auto"/>
            <w:ind w:left="175" w:right="305"/>
            <w:rPr>
              <w:rFonts w:eastAsia="Calibri" w:cs="Calibri"/>
              <w:color w:val="000000" w:themeColor="text1"/>
            </w:rPr>
          </w:pPr>
        </w:p>
      </w:tc>
      <w:tc>
        <w:tcPr>
          <w:tcW w:w="9223" w:type="dxa"/>
          <w:tcBorders>
            <w:top w:val="single" w:sz="6" w:space="0" w:color="FFFFFF" w:themeColor="background1"/>
            <w:left w:val="single" w:sz="6" w:space="0" w:color="FFFFFF" w:themeColor="background1"/>
            <w:bottom w:val="single" w:sz="6" w:space="0" w:color="FFFFFF" w:themeColor="background1"/>
            <w:right w:val="single" w:sz="6" w:space="0" w:color="FFFFFF" w:themeColor="background1"/>
          </w:tcBorders>
          <w:tcMar>
            <w:left w:w="105" w:type="dxa"/>
            <w:right w:w="105" w:type="dxa"/>
          </w:tcMar>
        </w:tcPr>
        <w:p w14:paraId="1D71741C" w14:textId="51082A43" w:rsidR="096D7A15" w:rsidRDefault="3762BA9F" w:rsidP="3762BA9F">
          <w:pPr>
            <w:spacing w:beforeAutospacing="1" w:afterAutospacing="1" w:line="240" w:lineRule="auto"/>
            <w:ind w:left="-450" w:firstLine="450"/>
            <w:rPr>
              <w:rFonts w:eastAsia="Calibri" w:cs="Calibri"/>
              <w:color w:val="000000" w:themeColor="text1"/>
            </w:rPr>
          </w:pPr>
          <w:r w:rsidRPr="3762BA9F">
            <w:rPr>
              <w:rFonts w:ascii="Times New Roman" w:hAnsi="Times New Roman"/>
              <w:color w:val="000000" w:themeColor="text1"/>
              <w:sz w:val="20"/>
              <w:szCs w:val="20"/>
            </w:rPr>
            <w:t xml:space="preserve">                                                     </w:t>
          </w:r>
          <w:r>
            <w:rPr>
              <w:noProof/>
            </w:rPr>
            <w:drawing>
              <wp:inline distT="0" distB="0" distL="0" distR="0" wp14:anchorId="03FCE55A" wp14:editId="4F938C38">
                <wp:extent cx="1509698" cy="1080000"/>
                <wp:effectExtent l="0" t="0" r="0" b="0"/>
                <wp:docPr id="1831820471" name="Imagem 18318204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09698" cy="108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4A25D628" w14:textId="5EF90581" w:rsidR="096D7A15" w:rsidRDefault="096D7A15" w:rsidP="096D7A15">
          <w:pPr>
            <w:spacing w:after="0" w:line="240" w:lineRule="auto"/>
            <w:jc w:val="center"/>
            <w:rPr>
              <w:rFonts w:ascii="Arial" w:eastAsia="Arial" w:hAnsi="Arial" w:cs="Arial"/>
              <w:color w:val="000000" w:themeColor="text1"/>
              <w:sz w:val="12"/>
              <w:szCs w:val="12"/>
            </w:rPr>
          </w:pPr>
          <w:r w:rsidRPr="096D7A15">
            <w:rPr>
              <w:rFonts w:ascii="Arial" w:eastAsia="Arial" w:hAnsi="Arial" w:cs="Arial"/>
              <w:b/>
              <w:bCs/>
              <w:color w:val="000000" w:themeColor="text1"/>
              <w:sz w:val="12"/>
              <w:szCs w:val="12"/>
            </w:rPr>
            <w:t>COOPERATIVA DE ECONOMIA E CRÉDITO MÚTUO DOS EMPREGADOS DA TUPY MINAS GERAIS LTDA. E NEMAK ALUMÍNIO DO BRASIL LTDA.</w:t>
          </w:r>
        </w:p>
        <w:p w14:paraId="3D4160E4" w14:textId="67C9051A" w:rsidR="096D7A15" w:rsidRDefault="096D7A15" w:rsidP="096D7A15">
          <w:pPr>
            <w:spacing w:after="0" w:line="240" w:lineRule="auto"/>
            <w:jc w:val="center"/>
            <w:rPr>
              <w:rFonts w:ascii="Arial" w:eastAsia="Arial" w:hAnsi="Arial" w:cs="Arial"/>
              <w:color w:val="000000" w:themeColor="text1"/>
              <w:sz w:val="13"/>
              <w:szCs w:val="13"/>
            </w:rPr>
          </w:pPr>
          <w:r w:rsidRPr="096D7A15">
            <w:rPr>
              <w:rFonts w:ascii="Arial" w:eastAsia="Arial" w:hAnsi="Arial" w:cs="Arial"/>
              <w:color w:val="000000" w:themeColor="text1"/>
              <w:sz w:val="13"/>
              <w:szCs w:val="13"/>
            </w:rPr>
            <w:t xml:space="preserve">  Rua Senador Giovanni Agnelli, 230, Distrito Industrial Paulo Camilo Norte – Betim/MG Telefone: 31-33168380 CEP: 32681-080 </w:t>
          </w:r>
        </w:p>
        <w:p w14:paraId="5C5A100C" w14:textId="0770B5BF" w:rsidR="096D7A15" w:rsidRDefault="096D7A15" w:rsidP="096D7A15">
          <w:pPr>
            <w:spacing w:after="0" w:line="240" w:lineRule="auto"/>
            <w:ind w:right="253"/>
            <w:jc w:val="center"/>
            <w:rPr>
              <w:rFonts w:ascii="Arial" w:eastAsia="Arial" w:hAnsi="Arial" w:cs="Arial"/>
              <w:color w:val="000000" w:themeColor="text1"/>
              <w:sz w:val="13"/>
              <w:szCs w:val="13"/>
            </w:rPr>
          </w:pPr>
          <w:r w:rsidRPr="096D7A15">
            <w:rPr>
              <w:rFonts w:ascii="Arial" w:eastAsia="Arial" w:hAnsi="Arial" w:cs="Arial"/>
              <w:color w:val="000000" w:themeColor="text1"/>
              <w:sz w:val="13"/>
              <w:szCs w:val="13"/>
            </w:rPr>
            <w:t xml:space="preserve">     Site: </w:t>
          </w:r>
          <w:hyperlink r:id="rId2">
            <w:r w:rsidRPr="096D7A15">
              <w:rPr>
                <w:rStyle w:val="Hyperlink"/>
                <w:rFonts w:ascii="Arial" w:eastAsia="Arial" w:hAnsi="Arial" w:cs="Arial"/>
                <w:b/>
                <w:bCs/>
                <w:sz w:val="13"/>
                <w:szCs w:val="13"/>
              </w:rPr>
              <w:t xml:space="preserve">www.cooptek.com.br </w:t>
            </w:r>
          </w:hyperlink>
          <w:r w:rsidRPr="096D7A15">
            <w:rPr>
              <w:rFonts w:ascii="Arial" w:eastAsia="Arial" w:hAnsi="Arial" w:cs="Arial"/>
              <w:color w:val="000000" w:themeColor="text1"/>
              <w:sz w:val="13"/>
              <w:szCs w:val="13"/>
            </w:rPr>
            <w:t>-CNPJ: 04.249.235/00001-72</w:t>
          </w:r>
        </w:p>
        <w:p w14:paraId="23FAFB01" w14:textId="064A08BA" w:rsidR="096D7A15" w:rsidRDefault="096D7A15" w:rsidP="096D7A15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Times New Roman" w:hAnsi="Times New Roman"/>
              <w:color w:val="000000" w:themeColor="text1"/>
              <w:sz w:val="20"/>
              <w:szCs w:val="20"/>
            </w:rPr>
          </w:pPr>
        </w:p>
        <w:p w14:paraId="1082C978" w14:textId="5E257EA6" w:rsidR="096D7A15" w:rsidRDefault="096D7A15" w:rsidP="096D7A15">
          <w:pPr>
            <w:spacing w:after="0" w:line="240" w:lineRule="auto"/>
            <w:ind w:left="-141"/>
            <w:jc w:val="center"/>
            <w:rPr>
              <w:rFonts w:ascii="Arial Narrow" w:eastAsia="Arial Narrow" w:hAnsi="Arial Narrow" w:cs="Arial Narrow"/>
              <w:color w:val="000000" w:themeColor="text1"/>
              <w:sz w:val="20"/>
              <w:szCs w:val="20"/>
            </w:rPr>
          </w:pPr>
        </w:p>
      </w:tc>
    </w:tr>
  </w:tbl>
  <w:p w14:paraId="49E398E2" w14:textId="68210E0A" w:rsidR="004B2EC5" w:rsidRPr="007D0D31" w:rsidRDefault="004B2EC5" w:rsidP="007D0D3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singleLevel"/>
    <w:tmpl w:val="00000005"/>
    <w:name w:val="WW8Num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sz w:val="24"/>
        <w:szCs w:val="24"/>
      </w:rPr>
    </w:lvl>
  </w:abstractNum>
  <w:abstractNum w:abstractNumId="1" w15:restartNumberingAfterBreak="0">
    <w:nsid w:val="000153E5"/>
    <w:multiLevelType w:val="hybridMultilevel"/>
    <w:tmpl w:val="55BEBB3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B5078B"/>
    <w:multiLevelType w:val="multilevel"/>
    <w:tmpl w:val="7F6CC7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9397F2B"/>
    <w:multiLevelType w:val="hybridMultilevel"/>
    <w:tmpl w:val="1228C7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1C04A6"/>
    <w:multiLevelType w:val="hybridMultilevel"/>
    <w:tmpl w:val="1228C7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BC5906"/>
    <w:multiLevelType w:val="hybridMultilevel"/>
    <w:tmpl w:val="0B5417EE"/>
    <w:lvl w:ilvl="0" w:tplc="04160013">
      <w:start w:val="1"/>
      <w:numFmt w:val="upperRoman"/>
      <w:lvlText w:val="%1."/>
      <w:lvlJc w:val="right"/>
      <w:pPr>
        <w:ind w:left="1440" w:hanging="360"/>
      </w:pPr>
    </w:lvl>
    <w:lvl w:ilvl="1" w:tplc="87ECCE9C">
      <w:numFmt w:val="bullet"/>
      <w:lvlText w:val="-"/>
      <w:lvlJc w:val="left"/>
      <w:pPr>
        <w:ind w:left="2160" w:hanging="360"/>
      </w:pPr>
      <w:rPr>
        <w:rFonts w:ascii="Tahoma" w:eastAsia="Times New Roman" w:hAnsi="Tahoma" w:cs="Tahoma" w:hint="default"/>
        <w:sz w:val="20"/>
      </w:r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C5A15B1"/>
    <w:multiLevelType w:val="hybridMultilevel"/>
    <w:tmpl w:val="DEB68A5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0675E6"/>
    <w:multiLevelType w:val="hybridMultilevel"/>
    <w:tmpl w:val="BA864E7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2A7DB8"/>
    <w:multiLevelType w:val="multilevel"/>
    <w:tmpl w:val="9EFEE2C4"/>
    <w:lvl w:ilvl="0">
      <w:start w:val="8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81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4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9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48" w:hanging="1800"/>
      </w:pPr>
      <w:rPr>
        <w:rFonts w:hint="default"/>
      </w:rPr>
    </w:lvl>
  </w:abstractNum>
  <w:abstractNum w:abstractNumId="9" w15:restartNumberingAfterBreak="0">
    <w:nsid w:val="1A822982"/>
    <w:multiLevelType w:val="hybridMultilevel"/>
    <w:tmpl w:val="1228C7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4770D8"/>
    <w:multiLevelType w:val="hybridMultilevel"/>
    <w:tmpl w:val="97E80E62"/>
    <w:lvl w:ilvl="0" w:tplc="144276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6D125F"/>
    <w:multiLevelType w:val="hybridMultilevel"/>
    <w:tmpl w:val="75F0FABA"/>
    <w:lvl w:ilvl="0" w:tplc="133A05D0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3C1B14"/>
    <w:multiLevelType w:val="hybridMultilevel"/>
    <w:tmpl w:val="F8E28A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99428B"/>
    <w:multiLevelType w:val="hybridMultilevel"/>
    <w:tmpl w:val="23FCC734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8382A09"/>
    <w:multiLevelType w:val="hybridMultilevel"/>
    <w:tmpl w:val="4682445E"/>
    <w:lvl w:ilvl="0" w:tplc="015C818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AC7F91"/>
    <w:multiLevelType w:val="hybridMultilevel"/>
    <w:tmpl w:val="BE8EDF7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B66930"/>
    <w:multiLevelType w:val="hybridMultilevel"/>
    <w:tmpl w:val="1228C7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464455"/>
    <w:multiLevelType w:val="hybridMultilevel"/>
    <w:tmpl w:val="1228C7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6212EC"/>
    <w:multiLevelType w:val="multilevel"/>
    <w:tmpl w:val="229E923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2F2131B9"/>
    <w:multiLevelType w:val="hybridMultilevel"/>
    <w:tmpl w:val="0C520C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9B33C2"/>
    <w:multiLevelType w:val="hybridMultilevel"/>
    <w:tmpl w:val="309C44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BE4D4C"/>
    <w:multiLevelType w:val="hybridMultilevel"/>
    <w:tmpl w:val="96B058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7C1EF0"/>
    <w:multiLevelType w:val="hybridMultilevel"/>
    <w:tmpl w:val="BC661C10"/>
    <w:lvl w:ilvl="0" w:tplc="760A01A0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color w:val="000000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18A6698"/>
    <w:multiLevelType w:val="hybridMultilevel"/>
    <w:tmpl w:val="27A6592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B01218"/>
    <w:multiLevelType w:val="hybridMultilevel"/>
    <w:tmpl w:val="3E046ECE"/>
    <w:lvl w:ilvl="0" w:tplc="7EF879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C736578"/>
    <w:multiLevelType w:val="hybridMultilevel"/>
    <w:tmpl w:val="D7627AE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FF10DD"/>
    <w:multiLevelType w:val="hybridMultilevel"/>
    <w:tmpl w:val="51602BE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2DB3468"/>
    <w:multiLevelType w:val="hybridMultilevel"/>
    <w:tmpl w:val="34CA957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F2231B"/>
    <w:multiLevelType w:val="hybridMultilevel"/>
    <w:tmpl w:val="EC6C761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E204A7"/>
    <w:multiLevelType w:val="hybridMultilevel"/>
    <w:tmpl w:val="315E6F3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972041"/>
    <w:multiLevelType w:val="hybridMultilevel"/>
    <w:tmpl w:val="21CC18F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F916F2"/>
    <w:multiLevelType w:val="multilevel"/>
    <w:tmpl w:val="C902CB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2" w15:restartNumberingAfterBreak="0">
    <w:nsid w:val="7D9C0D84"/>
    <w:multiLevelType w:val="hybridMultilevel"/>
    <w:tmpl w:val="1228C7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6705445">
    <w:abstractNumId w:val="7"/>
  </w:num>
  <w:num w:numId="2" w16cid:durableId="1813059563">
    <w:abstractNumId w:val="23"/>
  </w:num>
  <w:num w:numId="3" w16cid:durableId="924145559">
    <w:abstractNumId w:val="15"/>
  </w:num>
  <w:num w:numId="4" w16cid:durableId="2082674851">
    <w:abstractNumId w:val="12"/>
  </w:num>
  <w:num w:numId="5" w16cid:durableId="1472480990">
    <w:abstractNumId w:val="21"/>
  </w:num>
  <w:num w:numId="6" w16cid:durableId="2135518589">
    <w:abstractNumId w:val="19"/>
  </w:num>
  <w:num w:numId="7" w16cid:durableId="525367052">
    <w:abstractNumId w:val="24"/>
  </w:num>
  <w:num w:numId="8" w16cid:durableId="1808815187">
    <w:abstractNumId w:val="22"/>
  </w:num>
  <w:num w:numId="9" w16cid:durableId="1193878433">
    <w:abstractNumId w:val="2"/>
  </w:num>
  <w:num w:numId="10" w16cid:durableId="494564771">
    <w:abstractNumId w:val="30"/>
  </w:num>
  <w:num w:numId="11" w16cid:durableId="995498581">
    <w:abstractNumId w:val="26"/>
  </w:num>
  <w:num w:numId="12" w16cid:durableId="1741514374">
    <w:abstractNumId w:val="1"/>
  </w:num>
  <w:num w:numId="13" w16cid:durableId="1841312699">
    <w:abstractNumId w:val="25"/>
  </w:num>
  <w:num w:numId="14" w16cid:durableId="1456633732">
    <w:abstractNumId w:val="5"/>
  </w:num>
  <w:num w:numId="15" w16cid:durableId="1604654747">
    <w:abstractNumId w:val="28"/>
  </w:num>
  <w:num w:numId="16" w16cid:durableId="1669290439">
    <w:abstractNumId w:val="29"/>
  </w:num>
  <w:num w:numId="17" w16cid:durableId="1782450123">
    <w:abstractNumId w:val="27"/>
  </w:num>
  <w:num w:numId="18" w16cid:durableId="924149961">
    <w:abstractNumId w:val="9"/>
  </w:num>
  <w:num w:numId="19" w16cid:durableId="570895375">
    <w:abstractNumId w:val="3"/>
  </w:num>
  <w:num w:numId="20" w16cid:durableId="2068721802">
    <w:abstractNumId w:val="17"/>
  </w:num>
  <w:num w:numId="21" w16cid:durableId="1746761271">
    <w:abstractNumId w:val="32"/>
  </w:num>
  <w:num w:numId="22" w16cid:durableId="2124882750">
    <w:abstractNumId w:val="16"/>
  </w:num>
  <w:num w:numId="23" w16cid:durableId="840393883">
    <w:abstractNumId w:val="4"/>
  </w:num>
  <w:num w:numId="24" w16cid:durableId="1689477573">
    <w:abstractNumId w:val="18"/>
  </w:num>
  <w:num w:numId="25" w16cid:durableId="125977088">
    <w:abstractNumId w:val="8"/>
  </w:num>
  <w:num w:numId="26" w16cid:durableId="878853782">
    <w:abstractNumId w:val="31"/>
  </w:num>
  <w:num w:numId="27" w16cid:durableId="904530058">
    <w:abstractNumId w:val="14"/>
  </w:num>
  <w:num w:numId="28" w16cid:durableId="1424954962">
    <w:abstractNumId w:val="11"/>
  </w:num>
  <w:num w:numId="29" w16cid:durableId="201943247">
    <w:abstractNumId w:val="13"/>
  </w:num>
  <w:num w:numId="30" w16cid:durableId="511800299">
    <w:abstractNumId w:val="10"/>
  </w:num>
  <w:num w:numId="31" w16cid:durableId="1014653152">
    <w:abstractNumId w:val="20"/>
  </w:num>
  <w:num w:numId="32" w16cid:durableId="886717857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FF1"/>
    <w:rsid w:val="00004317"/>
    <w:rsid w:val="00005C26"/>
    <w:rsid w:val="000171F0"/>
    <w:rsid w:val="0002137F"/>
    <w:rsid w:val="00021EE8"/>
    <w:rsid w:val="00023B23"/>
    <w:rsid w:val="000269B5"/>
    <w:rsid w:val="0003101D"/>
    <w:rsid w:val="00031D1A"/>
    <w:rsid w:val="000326FD"/>
    <w:rsid w:val="00050726"/>
    <w:rsid w:val="000578E2"/>
    <w:rsid w:val="000602F4"/>
    <w:rsid w:val="0006038D"/>
    <w:rsid w:val="00061B5F"/>
    <w:rsid w:val="00061F6D"/>
    <w:rsid w:val="000643C5"/>
    <w:rsid w:val="0006610B"/>
    <w:rsid w:val="000671F3"/>
    <w:rsid w:val="0007042C"/>
    <w:rsid w:val="00072038"/>
    <w:rsid w:val="00074BDB"/>
    <w:rsid w:val="00074DA3"/>
    <w:rsid w:val="00075CD6"/>
    <w:rsid w:val="00076EDA"/>
    <w:rsid w:val="00081408"/>
    <w:rsid w:val="000851E9"/>
    <w:rsid w:val="000869EB"/>
    <w:rsid w:val="00090CAB"/>
    <w:rsid w:val="00090D8F"/>
    <w:rsid w:val="00091FA1"/>
    <w:rsid w:val="00093FA9"/>
    <w:rsid w:val="000946A4"/>
    <w:rsid w:val="000A105C"/>
    <w:rsid w:val="000A5C89"/>
    <w:rsid w:val="000A7A17"/>
    <w:rsid w:val="000B722B"/>
    <w:rsid w:val="000C1B5C"/>
    <w:rsid w:val="000D06EE"/>
    <w:rsid w:val="000D12F0"/>
    <w:rsid w:val="000D43DB"/>
    <w:rsid w:val="000D4CFF"/>
    <w:rsid w:val="000E32BE"/>
    <w:rsid w:val="000E45AB"/>
    <w:rsid w:val="000E472B"/>
    <w:rsid w:val="000E47EF"/>
    <w:rsid w:val="000E6CAA"/>
    <w:rsid w:val="000F0057"/>
    <w:rsid w:val="000F38B4"/>
    <w:rsid w:val="00100392"/>
    <w:rsid w:val="00100572"/>
    <w:rsid w:val="001011E2"/>
    <w:rsid w:val="0010235D"/>
    <w:rsid w:val="00103D29"/>
    <w:rsid w:val="00105173"/>
    <w:rsid w:val="00110BCE"/>
    <w:rsid w:val="001147EE"/>
    <w:rsid w:val="00120209"/>
    <w:rsid w:val="001216B4"/>
    <w:rsid w:val="00125126"/>
    <w:rsid w:val="00130A76"/>
    <w:rsid w:val="001329EE"/>
    <w:rsid w:val="0013329E"/>
    <w:rsid w:val="00134ECB"/>
    <w:rsid w:val="00137DD5"/>
    <w:rsid w:val="001412AD"/>
    <w:rsid w:val="001540E2"/>
    <w:rsid w:val="00157643"/>
    <w:rsid w:val="00160C7A"/>
    <w:rsid w:val="00167613"/>
    <w:rsid w:val="00171094"/>
    <w:rsid w:val="00171FF5"/>
    <w:rsid w:val="001735F1"/>
    <w:rsid w:val="001809D3"/>
    <w:rsid w:val="00180AE7"/>
    <w:rsid w:val="00180DF5"/>
    <w:rsid w:val="0019685F"/>
    <w:rsid w:val="0019796C"/>
    <w:rsid w:val="001A345C"/>
    <w:rsid w:val="001A44D9"/>
    <w:rsid w:val="001B41DD"/>
    <w:rsid w:val="001B5F4E"/>
    <w:rsid w:val="001B72C6"/>
    <w:rsid w:val="001C15D4"/>
    <w:rsid w:val="001D0CCA"/>
    <w:rsid w:val="001D1BA3"/>
    <w:rsid w:val="001D329C"/>
    <w:rsid w:val="001D3C3A"/>
    <w:rsid w:val="001D739C"/>
    <w:rsid w:val="001E3303"/>
    <w:rsid w:val="001E7FF0"/>
    <w:rsid w:val="001F5822"/>
    <w:rsid w:val="001F6D57"/>
    <w:rsid w:val="0020498C"/>
    <w:rsid w:val="0021222A"/>
    <w:rsid w:val="00214607"/>
    <w:rsid w:val="00214941"/>
    <w:rsid w:val="002152BC"/>
    <w:rsid w:val="00215C78"/>
    <w:rsid w:val="00217048"/>
    <w:rsid w:val="00217664"/>
    <w:rsid w:val="002226A2"/>
    <w:rsid w:val="00223588"/>
    <w:rsid w:val="002252D9"/>
    <w:rsid w:val="00231D3E"/>
    <w:rsid w:val="00237DC2"/>
    <w:rsid w:val="0024564E"/>
    <w:rsid w:val="0024731F"/>
    <w:rsid w:val="002601F5"/>
    <w:rsid w:val="00261B93"/>
    <w:rsid w:val="002648BC"/>
    <w:rsid w:val="00270E0D"/>
    <w:rsid w:val="00283F2C"/>
    <w:rsid w:val="00286FA9"/>
    <w:rsid w:val="00287FDF"/>
    <w:rsid w:val="00292CBE"/>
    <w:rsid w:val="00293B31"/>
    <w:rsid w:val="00294A0B"/>
    <w:rsid w:val="00297F17"/>
    <w:rsid w:val="002A3123"/>
    <w:rsid w:val="002A4A0E"/>
    <w:rsid w:val="002B231D"/>
    <w:rsid w:val="002B2470"/>
    <w:rsid w:val="002B2C5E"/>
    <w:rsid w:val="002B2E79"/>
    <w:rsid w:val="002C475C"/>
    <w:rsid w:val="002C66A5"/>
    <w:rsid w:val="002D6EE5"/>
    <w:rsid w:val="002E508A"/>
    <w:rsid w:val="002E6B14"/>
    <w:rsid w:val="002F49E4"/>
    <w:rsid w:val="002F6EA1"/>
    <w:rsid w:val="00303F6B"/>
    <w:rsid w:val="00306137"/>
    <w:rsid w:val="00310098"/>
    <w:rsid w:val="0031460F"/>
    <w:rsid w:val="00315917"/>
    <w:rsid w:val="00315CB7"/>
    <w:rsid w:val="0032370A"/>
    <w:rsid w:val="00326DB0"/>
    <w:rsid w:val="00330FB0"/>
    <w:rsid w:val="003329E7"/>
    <w:rsid w:val="00334137"/>
    <w:rsid w:val="00336AA6"/>
    <w:rsid w:val="0034679C"/>
    <w:rsid w:val="00346ADC"/>
    <w:rsid w:val="003473DC"/>
    <w:rsid w:val="00353ED6"/>
    <w:rsid w:val="0035627F"/>
    <w:rsid w:val="00364BD9"/>
    <w:rsid w:val="0036628C"/>
    <w:rsid w:val="0036649B"/>
    <w:rsid w:val="00367407"/>
    <w:rsid w:val="003722B3"/>
    <w:rsid w:val="0037376D"/>
    <w:rsid w:val="003750E0"/>
    <w:rsid w:val="00377DC7"/>
    <w:rsid w:val="00386015"/>
    <w:rsid w:val="00386541"/>
    <w:rsid w:val="00386ADE"/>
    <w:rsid w:val="003912D7"/>
    <w:rsid w:val="00396F89"/>
    <w:rsid w:val="0039786A"/>
    <w:rsid w:val="003B0802"/>
    <w:rsid w:val="003B22E0"/>
    <w:rsid w:val="003B2318"/>
    <w:rsid w:val="003C021A"/>
    <w:rsid w:val="003C0BF7"/>
    <w:rsid w:val="003C10DA"/>
    <w:rsid w:val="003C309C"/>
    <w:rsid w:val="003C5477"/>
    <w:rsid w:val="003C588B"/>
    <w:rsid w:val="003C71E2"/>
    <w:rsid w:val="003C7F11"/>
    <w:rsid w:val="003D08A1"/>
    <w:rsid w:val="003D0FFE"/>
    <w:rsid w:val="003D7503"/>
    <w:rsid w:val="003E1D3F"/>
    <w:rsid w:val="003F0156"/>
    <w:rsid w:val="003F0704"/>
    <w:rsid w:val="003F327E"/>
    <w:rsid w:val="003F389A"/>
    <w:rsid w:val="003F4E79"/>
    <w:rsid w:val="0040191B"/>
    <w:rsid w:val="00404045"/>
    <w:rsid w:val="00411FBA"/>
    <w:rsid w:val="004136C3"/>
    <w:rsid w:val="00415359"/>
    <w:rsid w:val="004163E8"/>
    <w:rsid w:val="00421B6E"/>
    <w:rsid w:val="00422364"/>
    <w:rsid w:val="00422C23"/>
    <w:rsid w:val="0042484A"/>
    <w:rsid w:val="00424CD6"/>
    <w:rsid w:val="00434EBF"/>
    <w:rsid w:val="00437AD9"/>
    <w:rsid w:val="00440160"/>
    <w:rsid w:val="0044053E"/>
    <w:rsid w:val="004425BE"/>
    <w:rsid w:val="004475C0"/>
    <w:rsid w:val="00447BF1"/>
    <w:rsid w:val="0045334C"/>
    <w:rsid w:val="00460986"/>
    <w:rsid w:val="0046160A"/>
    <w:rsid w:val="004625E4"/>
    <w:rsid w:val="0046370A"/>
    <w:rsid w:val="0047193D"/>
    <w:rsid w:val="00480800"/>
    <w:rsid w:val="00480F38"/>
    <w:rsid w:val="00481F96"/>
    <w:rsid w:val="00483B5D"/>
    <w:rsid w:val="0048589B"/>
    <w:rsid w:val="00486F1D"/>
    <w:rsid w:val="00490CCC"/>
    <w:rsid w:val="0049350D"/>
    <w:rsid w:val="00493D58"/>
    <w:rsid w:val="00494983"/>
    <w:rsid w:val="004A1A5B"/>
    <w:rsid w:val="004B2EC5"/>
    <w:rsid w:val="004C079A"/>
    <w:rsid w:val="004C0B6A"/>
    <w:rsid w:val="004D34AF"/>
    <w:rsid w:val="004D4A91"/>
    <w:rsid w:val="004D4DD0"/>
    <w:rsid w:val="004E0AE0"/>
    <w:rsid w:val="004E3B4C"/>
    <w:rsid w:val="004E4FE0"/>
    <w:rsid w:val="004E545B"/>
    <w:rsid w:val="004F09B3"/>
    <w:rsid w:val="004F16E8"/>
    <w:rsid w:val="004F6320"/>
    <w:rsid w:val="00500E6C"/>
    <w:rsid w:val="00506779"/>
    <w:rsid w:val="0051096A"/>
    <w:rsid w:val="00512263"/>
    <w:rsid w:val="00516B66"/>
    <w:rsid w:val="00517785"/>
    <w:rsid w:val="00520127"/>
    <w:rsid w:val="00520694"/>
    <w:rsid w:val="005225F7"/>
    <w:rsid w:val="00530C1E"/>
    <w:rsid w:val="00531B91"/>
    <w:rsid w:val="0053356F"/>
    <w:rsid w:val="00541667"/>
    <w:rsid w:val="00541B2C"/>
    <w:rsid w:val="0054292C"/>
    <w:rsid w:val="00545715"/>
    <w:rsid w:val="00553235"/>
    <w:rsid w:val="00561571"/>
    <w:rsid w:val="00562819"/>
    <w:rsid w:val="0056339C"/>
    <w:rsid w:val="00567A69"/>
    <w:rsid w:val="00573A77"/>
    <w:rsid w:val="00575EDD"/>
    <w:rsid w:val="00576323"/>
    <w:rsid w:val="0057721B"/>
    <w:rsid w:val="0058062F"/>
    <w:rsid w:val="0058196E"/>
    <w:rsid w:val="00582D4E"/>
    <w:rsid w:val="00583FBB"/>
    <w:rsid w:val="00586078"/>
    <w:rsid w:val="00590FCD"/>
    <w:rsid w:val="005955E3"/>
    <w:rsid w:val="00596387"/>
    <w:rsid w:val="005A5A86"/>
    <w:rsid w:val="005A5D81"/>
    <w:rsid w:val="005B34D9"/>
    <w:rsid w:val="005B38F0"/>
    <w:rsid w:val="005B753B"/>
    <w:rsid w:val="005C320B"/>
    <w:rsid w:val="005C4199"/>
    <w:rsid w:val="005E05D5"/>
    <w:rsid w:val="005E25AA"/>
    <w:rsid w:val="005F3282"/>
    <w:rsid w:val="005F4379"/>
    <w:rsid w:val="005F4DC9"/>
    <w:rsid w:val="005F6A1D"/>
    <w:rsid w:val="00600520"/>
    <w:rsid w:val="00603136"/>
    <w:rsid w:val="00606BD4"/>
    <w:rsid w:val="00607ED3"/>
    <w:rsid w:val="00612103"/>
    <w:rsid w:val="00624379"/>
    <w:rsid w:val="00626D65"/>
    <w:rsid w:val="006356B7"/>
    <w:rsid w:val="006362D2"/>
    <w:rsid w:val="00636ABC"/>
    <w:rsid w:val="006455B2"/>
    <w:rsid w:val="00647DBD"/>
    <w:rsid w:val="0065069F"/>
    <w:rsid w:val="006714CF"/>
    <w:rsid w:val="00693ED9"/>
    <w:rsid w:val="00694238"/>
    <w:rsid w:val="006A0224"/>
    <w:rsid w:val="006A4A4C"/>
    <w:rsid w:val="006A5756"/>
    <w:rsid w:val="006B22CE"/>
    <w:rsid w:val="006B3A92"/>
    <w:rsid w:val="006B3E84"/>
    <w:rsid w:val="006B4E5F"/>
    <w:rsid w:val="006C1BC4"/>
    <w:rsid w:val="006C2094"/>
    <w:rsid w:val="006C3860"/>
    <w:rsid w:val="006C44B6"/>
    <w:rsid w:val="006C61D3"/>
    <w:rsid w:val="006C6884"/>
    <w:rsid w:val="006D2557"/>
    <w:rsid w:val="006D2F8D"/>
    <w:rsid w:val="006D63F9"/>
    <w:rsid w:val="006E060B"/>
    <w:rsid w:val="006E32C1"/>
    <w:rsid w:val="006E3FFE"/>
    <w:rsid w:val="006E4A76"/>
    <w:rsid w:val="006E683F"/>
    <w:rsid w:val="006F0549"/>
    <w:rsid w:val="006F2A47"/>
    <w:rsid w:val="006F49EF"/>
    <w:rsid w:val="006F75EA"/>
    <w:rsid w:val="00707FBC"/>
    <w:rsid w:val="00710B05"/>
    <w:rsid w:val="00712EC6"/>
    <w:rsid w:val="007132FD"/>
    <w:rsid w:val="007141C2"/>
    <w:rsid w:val="00715157"/>
    <w:rsid w:val="0072140D"/>
    <w:rsid w:val="00724685"/>
    <w:rsid w:val="00725C81"/>
    <w:rsid w:val="0074188A"/>
    <w:rsid w:val="00752619"/>
    <w:rsid w:val="00763790"/>
    <w:rsid w:val="00765454"/>
    <w:rsid w:val="00766CA0"/>
    <w:rsid w:val="00767638"/>
    <w:rsid w:val="007708A2"/>
    <w:rsid w:val="007801A8"/>
    <w:rsid w:val="007847F4"/>
    <w:rsid w:val="00786789"/>
    <w:rsid w:val="007912F7"/>
    <w:rsid w:val="00794AE9"/>
    <w:rsid w:val="00797815"/>
    <w:rsid w:val="007A6960"/>
    <w:rsid w:val="007B2246"/>
    <w:rsid w:val="007B3515"/>
    <w:rsid w:val="007B4EB8"/>
    <w:rsid w:val="007B6B37"/>
    <w:rsid w:val="007B77F7"/>
    <w:rsid w:val="007C169B"/>
    <w:rsid w:val="007C1C20"/>
    <w:rsid w:val="007C275C"/>
    <w:rsid w:val="007C47A2"/>
    <w:rsid w:val="007C5AD2"/>
    <w:rsid w:val="007C7E1F"/>
    <w:rsid w:val="007D0D31"/>
    <w:rsid w:val="007D3E61"/>
    <w:rsid w:val="007D4679"/>
    <w:rsid w:val="007D5A8B"/>
    <w:rsid w:val="007D7986"/>
    <w:rsid w:val="007E39CE"/>
    <w:rsid w:val="007E5856"/>
    <w:rsid w:val="007F230A"/>
    <w:rsid w:val="007F332F"/>
    <w:rsid w:val="007F3E4C"/>
    <w:rsid w:val="007F51EB"/>
    <w:rsid w:val="0080503D"/>
    <w:rsid w:val="0080584B"/>
    <w:rsid w:val="00821040"/>
    <w:rsid w:val="008220A1"/>
    <w:rsid w:val="00825E3A"/>
    <w:rsid w:val="0082687C"/>
    <w:rsid w:val="00831912"/>
    <w:rsid w:val="00833C2D"/>
    <w:rsid w:val="00835CDC"/>
    <w:rsid w:val="00836A93"/>
    <w:rsid w:val="00837A01"/>
    <w:rsid w:val="00842DA4"/>
    <w:rsid w:val="00851E46"/>
    <w:rsid w:val="00853EEA"/>
    <w:rsid w:val="008564E8"/>
    <w:rsid w:val="008642B8"/>
    <w:rsid w:val="00867E3B"/>
    <w:rsid w:val="00872B4A"/>
    <w:rsid w:val="008731A7"/>
    <w:rsid w:val="00880D78"/>
    <w:rsid w:val="00882659"/>
    <w:rsid w:val="00882C60"/>
    <w:rsid w:val="008830FD"/>
    <w:rsid w:val="0088330C"/>
    <w:rsid w:val="00885B64"/>
    <w:rsid w:val="00887168"/>
    <w:rsid w:val="0089002E"/>
    <w:rsid w:val="0089011D"/>
    <w:rsid w:val="008927C7"/>
    <w:rsid w:val="008A27D4"/>
    <w:rsid w:val="008B17FE"/>
    <w:rsid w:val="008B237C"/>
    <w:rsid w:val="008B36C3"/>
    <w:rsid w:val="008B6C57"/>
    <w:rsid w:val="008C0EAC"/>
    <w:rsid w:val="008C1AF1"/>
    <w:rsid w:val="008C2594"/>
    <w:rsid w:val="008C30BD"/>
    <w:rsid w:val="008C4172"/>
    <w:rsid w:val="008C6E25"/>
    <w:rsid w:val="008C76C1"/>
    <w:rsid w:val="008D2621"/>
    <w:rsid w:val="008D5BD7"/>
    <w:rsid w:val="008D62D8"/>
    <w:rsid w:val="008E0A1F"/>
    <w:rsid w:val="008E0DE7"/>
    <w:rsid w:val="008E1C81"/>
    <w:rsid w:val="008E532A"/>
    <w:rsid w:val="008E68A2"/>
    <w:rsid w:val="008F5E14"/>
    <w:rsid w:val="008F60D9"/>
    <w:rsid w:val="00903EA9"/>
    <w:rsid w:val="0090484F"/>
    <w:rsid w:val="009178F9"/>
    <w:rsid w:val="00917907"/>
    <w:rsid w:val="009246BB"/>
    <w:rsid w:val="0092637D"/>
    <w:rsid w:val="0092695F"/>
    <w:rsid w:val="009311F0"/>
    <w:rsid w:val="00934225"/>
    <w:rsid w:val="00934DE1"/>
    <w:rsid w:val="00936C81"/>
    <w:rsid w:val="00941BC6"/>
    <w:rsid w:val="00943211"/>
    <w:rsid w:val="00950A51"/>
    <w:rsid w:val="00952055"/>
    <w:rsid w:val="0095543C"/>
    <w:rsid w:val="009556D8"/>
    <w:rsid w:val="00963631"/>
    <w:rsid w:val="00964671"/>
    <w:rsid w:val="00964EBC"/>
    <w:rsid w:val="00973190"/>
    <w:rsid w:val="0097738C"/>
    <w:rsid w:val="00977C32"/>
    <w:rsid w:val="009817B5"/>
    <w:rsid w:val="009821B6"/>
    <w:rsid w:val="00983140"/>
    <w:rsid w:val="00990939"/>
    <w:rsid w:val="009919E2"/>
    <w:rsid w:val="00991F84"/>
    <w:rsid w:val="0099543C"/>
    <w:rsid w:val="009965E1"/>
    <w:rsid w:val="0099791F"/>
    <w:rsid w:val="00997F8C"/>
    <w:rsid w:val="009A0258"/>
    <w:rsid w:val="009A2F58"/>
    <w:rsid w:val="009A60C0"/>
    <w:rsid w:val="009B260D"/>
    <w:rsid w:val="009B5304"/>
    <w:rsid w:val="009C2000"/>
    <w:rsid w:val="009C6E1E"/>
    <w:rsid w:val="009D2AB2"/>
    <w:rsid w:val="009E113A"/>
    <w:rsid w:val="009E1CC3"/>
    <w:rsid w:val="009E203E"/>
    <w:rsid w:val="009E278B"/>
    <w:rsid w:val="009E4152"/>
    <w:rsid w:val="009E4C20"/>
    <w:rsid w:val="009F270C"/>
    <w:rsid w:val="009F3537"/>
    <w:rsid w:val="00A0169A"/>
    <w:rsid w:val="00A0329C"/>
    <w:rsid w:val="00A03549"/>
    <w:rsid w:val="00A05C46"/>
    <w:rsid w:val="00A12463"/>
    <w:rsid w:val="00A14671"/>
    <w:rsid w:val="00A14F41"/>
    <w:rsid w:val="00A239FE"/>
    <w:rsid w:val="00A24C45"/>
    <w:rsid w:val="00A24C8C"/>
    <w:rsid w:val="00A258A5"/>
    <w:rsid w:val="00A25F90"/>
    <w:rsid w:val="00A27D98"/>
    <w:rsid w:val="00A33DED"/>
    <w:rsid w:val="00A34880"/>
    <w:rsid w:val="00A43995"/>
    <w:rsid w:val="00A63C02"/>
    <w:rsid w:val="00A65012"/>
    <w:rsid w:val="00A6532B"/>
    <w:rsid w:val="00A72B9C"/>
    <w:rsid w:val="00A7493B"/>
    <w:rsid w:val="00A75584"/>
    <w:rsid w:val="00A83612"/>
    <w:rsid w:val="00A9406B"/>
    <w:rsid w:val="00A9720E"/>
    <w:rsid w:val="00A97AE8"/>
    <w:rsid w:val="00AB07C6"/>
    <w:rsid w:val="00AB0990"/>
    <w:rsid w:val="00AB0B44"/>
    <w:rsid w:val="00AC0196"/>
    <w:rsid w:val="00AC19D4"/>
    <w:rsid w:val="00AC59F7"/>
    <w:rsid w:val="00AC7E6A"/>
    <w:rsid w:val="00AD38EB"/>
    <w:rsid w:val="00AD3EB3"/>
    <w:rsid w:val="00AD54F5"/>
    <w:rsid w:val="00AD5AB4"/>
    <w:rsid w:val="00AE0583"/>
    <w:rsid w:val="00AE4874"/>
    <w:rsid w:val="00AF574B"/>
    <w:rsid w:val="00AF73F7"/>
    <w:rsid w:val="00B02025"/>
    <w:rsid w:val="00B0230F"/>
    <w:rsid w:val="00B0355E"/>
    <w:rsid w:val="00B04588"/>
    <w:rsid w:val="00B06EEC"/>
    <w:rsid w:val="00B11580"/>
    <w:rsid w:val="00B142C0"/>
    <w:rsid w:val="00B14762"/>
    <w:rsid w:val="00B27340"/>
    <w:rsid w:val="00B32C95"/>
    <w:rsid w:val="00B339DB"/>
    <w:rsid w:val="00B3626A"/>
    <w:rsid w:val="00B36E9B"/>
    <w:rsid w:val="00B41809"/>
    <w:rsid w:val="00B463A0"/>
    <w:rsid w:val="00B46ED8"/>
    <w:rsid w:val="00B513BC"/>
    <w:rsid w:val="00B53855"/>
    <w:rsid w:val="00B579FF"/>
    <w:rsid w:val="00B656A6"/>
    <w:rsid w:val="00B70709"/>
    <w:rsid w:val="00B707A4"/>
    <w:rsid w:val="00B72615"/>
    <w:rsid w:val="00B75C04"/>
    <w:rsid w:val="00B764E7"/>
    <w:rsid w:val="00B7766C"/>
    <w:rsid w:val="00B77CCA"/>
    <w:rsid w:val="00B815D4"/>
    <w:rsid w:val="00B82481"/>
    <w:rsid w:val="00B8428F"/>
    <w:rsid w:val="00B86784"/>
    <w:rsid w:val="00B92D2E"/>
    <w:rsid w:val="00B95634"/>
    <w:rsid w:val="00B97918"/>
    <w:rsid w:val="00BA1722"/>
    <w:rsid w:val="00BA300A"/>
    <w:rsid w:val="00BB1E12"/>
    <w:rsid w:val="00BB34D6"/>
    <w:rsid w:val="00BD0758"/>
    <w:rsid w:val="00BD4281"/>
    <w:rsid w:val="00BD4FF7"/>
    <w:rsid w:val="00BF23C8"/>
    <w:rsid w:val="00BF36A5"/>
    <w:rsid w:val="00BF37A5"/>
    <w:rsid w:val="00BF5376"/>
    <w:rsid w:val="00BF6191"/>
    <w:rsid w:val="00C024AF"/>
    <w:rsid w:val="00C06A5F"/>
    <w:rsid w:val="00C157B8"/>
    <w:rsid w:val="00C23150"/>
    <w:rsid w:val="00C25479"/>
    <w:rsid w:val="00C30EC9"/>
    <w:rsid w:val="00C43B7B"/>
    <w:rsid w:val="00C47261"/>
    <w:rsid w:val="00C50A91"/>
    <w:rsid w:val="00C57352"/>
    <w:rsid w:val="00C60579"/>
    <w:rsid w:val="00C64DF0"/>
    <w:rsid w:val="00C70B8E"/>
    <w:rsid w:val="00C744B3"/>
    <w:rsid w:val="00C7610A"/>
    <w:rsid w:val="00C76178"/>
    <w:rsid w:val="00C770B3"/>
    <w:rsid w:val="00C81BF7"/>
    <w:rsid w:val="00C84FC8"/>
    <w:rsid w:val="00C86B9F"/>
    <w:rsid w:val="00C87AC8"/>
    <w:rsid w:val="00C91997"/>
    <w:rsid w:val="00C957BD"/>
    <w:rsid w:val="00C95EFA"/>
    <w:rsid w:val="00C96923"/>
    <w:rsid w:val="00C9710A"/>
    <w:rsid w:val="00C97641"/>
    <w:rsid w:val="00CA1140"/>
    <w:rsid w:val="00CB298A"/>
    <w:rsid w:val="00CC12C2"/>
    <w:rsid w:val="00CC2E0C"/>
    <w:rsid w:val="00CD26C0"/>
    <w:rsid w:val="00CD4EFE"/>
    <w:rsid w:val="00CD596D"/>
    <w:rsid w:val="00CD6091"/>
    <w:rsid w:val="00CD7ADA"/>
    <w:rsid w:val="00CE04C6"/>
    <w:rsid w:val="00CE44E6"/>
    <w:rsid w:val="00CE4F5E"/>
    <w:rsid w:val="00CE578A"/>
    <w:rsid w:val="00CE5C40"/>
    <w:rsid w:val="00CF00B8"/>
    <w:rsid w:val="00CF05A2"/>
    <w:rsid w:val="00CF243E"/>
    <w:rsid w:val="00D06F42"/>
    <w:rsid w:val="00D1369A"/>
    <w:rsid w:val="00D20636"/>
    <w:rsid w:val="00D2144A"/>
    <w:rsid w:val="00D24E07"/>
    <w:rsid w:val="00D3152C"/>
    <w:rsid w:val="00D335B6"/>
    <w:rsid w:val="00D4077F"/>
    <w:rsid w:val="00D423E2"/>
    <w:rsid w:val="00D46900"/>
    <w:rsid w:val="00D475CB"/>
    <w:rsid w:val="00D54EFA"/>
    <w:rsid w:val="00D56013"/>
    <w:rsid w:val="00D5633C"/>
    <w:rsid w:val="00D636AC"/>
    <w:rsid w:val="00D67898"/>
    <w:rsid w:val="00D810BC"/>
    <w:rsid w:val="00D90B19"/>
    <w:rsid w:val="00D91C3D"/>
    <w:rsid w:val="00D92F8A"/>
    <w:rsid w:val="00D93AD3"/>
    <w:rsid w:val="00D93B84"/>
    <w:rsid w:val="00D95FC3"/>
    <w:rsid w:val="00D96D39"/>
    <w:rsid w:val="00DA2240"/>
    <w:rsid w:val="00DA3839"/>
    <w:rsid w:val="00DA791F"/>
    <w:rsid w:val="00DB7BD9"/>
    <w:rsid w:val="00DC592F"/>
    <w:rsid w:val="00DC7413"/>
    <w:rsid w:val="00DD2B0C"/>
    <w:rsid w:val="00DE0CDB"/>
    <w:rsid w:val="00DE44FD"/>
    <w:rsid w:val="00DF072A"/>
    <w:rsid w:val="00DF0F88"/>
    <w:rsid w:val="00DF6D00"/>
    <w:rsid w:val="00E05DBE"/>
    <w:rsid w:val="00E079D2"/>
    <w:rsid w:val="00E125B4"/>
    <w:rsid w:val="00E15697"/>
    <w:rsid w:val="00E21F89"/>
    <w:rsid w:val="00E2323D"/>
    <w:rsid w:val="00E27605"/>
    <w:rsid w:val="00E2769A"/>
    <w:rsid w:val="00E2786C"/>
    <w:rsid w:val="00E349BA"/>
    <w:rsid w:val="00E414E9"/>
    <w:rsid w:val="00E50486"/>
    <w:rsid w:val="00E5118B"/>
    <w:rsid w:val="00E54BB0"/>
    <w:rsid w:val="00E6328A"/>
    <w:rsid w:val="00E64EAF"/>
    <w:rsid w:val="00E70B47"/>
    <w:rsid w:val="00E72591"/>
    <w:rsid w:val="00E75814"/>
    <w:rsid w:val="00E759A7"/>
    <w:rsid w:val="00E827DE"/>
    <w:rsid w:val="00E9593B"/>
    <w:rsid w:val="00E95CF4"/>
    <w:rsid w:val="00EA15EE"/>
    <w:rsid w:val="00EA3362"/>
    <w:rsid w:val="00EA53D2"/>
    <w:rsid w:val="00EB2BC2"/>
    <w:rsid w:val="00EB35DC"/>
    <w:rsid w:val="00EB7DDF"/>
    <w:rsid w:val="00EC3393"/>
    <w:rsid w:val="00EC57B9"/>
    <w:rsid w:val="00EC65FA"/>
    <w:rsid w:val="00EC6963"/>
    <w:rsid w:val="00EE180B"/>
    <w:rsid w:val="00EE2C04"/>
    <w:rsid w:val="00EE52F4"/>
    <w:rsid w:val="00EE5A68"/>
    <w:rsid w:val="00EF070F"/>
    <w:rsid w:val="00EF1C2B"/>
    <w:rsid w:val="00EF2BCE"/>
    <w:rsid w:val="00EF6569"/>
    <w:rsid w:val="00EF7B33"/>
    <w:rsid w:val="00EF7D96"/>
    <w:rsid w:val="00F043DB"/>
    <w:rsid w:val="00F06F3B"/>
    <w:rsid w:val="00F13363"/>
    <w:rsid w:val="00F13399"/>
    <w:rsid w:val="00F1370F"/>
    <w:rsid w:val="00F13D1D"/>
    <w:rsid w:val="00F140A9"/>
    <w:rsid w:val="00F14852"/>
    <w:rsid w:val="00F162D3"/>
    <w:rsid w:val="00F20853"/>
    <w:rsid w:val="00F216AC"/>
    <w:rsid w:val="00F222FB"/>
    <w:rsid w:val="00F2291C"/>
    <w:rsid w:val="00F22FF1"/>
    <w:rsid w:val="00F23F3E"/>
    <w:rsid w:val="00F3771B"/>
    <w:rsid w:val="00F415A5"/>
    <w:rsid w:val="00F42913"/>
    <w:rsid w:val="00F434FE"/>
    <w:rsid w:val="00F44EF1"/>
    <w:rsid w:val="00F45841"/>
    <w:rsid w:val="00F50A61"/>
    <w:rsid w:val="00F61595"/>
    <w:rsid w:val="00F62AAD"/>
    <w:rsid w:val="00F63E4F"/>
    <w:rsid w:val="00F679EC"/>
    <w:rsid w:val="00F74A30"/>
    <w:rsid w:val="00F77A54"/>
    <w:rsid w:val="00F8114D"/>
    <w:rsid w:val="00F81BBA"/>
    <w:rsid w:val="00F82BFD"/>
    <w:rsid w:val="00F91EE1"/>
    <w:rsid w:val="00F92AAF"/>
    <w:rsid w:val="00F967EB"/>
    <w:rsid w:val="00FA3D5F"/>
    <w:rsid w:val="00FA5CB1"/>
    <w:rsid w:val="00FD503B"/>
    <w:rsid w:val="00FD6C90"/>
    <w:rsid w:val="00FE4069"/>
    <w:rsid w:val="00FE5C0A"/>
    <w:rsid w:val="00FF0D97"/>
    <w:rsid w:val="00FF0DF9"/>
    <w:rsid w:val="00FF6282"/>
    <w:rsid w:val="01B7EDAB"/>
    <w:rsid w:val="02127121"/>
    <w:rsid w:val="02FB784C"/>
    <w:rsid w:val="039F9443"/>
    <w:rsid w:val="03B0C3D2"/>
    <w:rsid w:val="03BE4268"/>
    <w:rsid w:val="04AA2ECB"/>
    <w:rsid w:val="053B64A4"/>
    <w:rsid w:val="05960277"/>
    <w:rsid w:val="059D5384"/>
    <w:rsid w:val="066924D7"/>
    <w:rsid w:val="0678F567"/>
    <w:rsid w:val="0698B4E0"/>
    <w:rsid w:val="06CEA80F"/>
    <w:rsid w:val="096D7A15"/>
    <w:rsid w:val="0D896AA2"/>
    <w:rsid w:val="0DA8EBF3"/>
    <w:rsid w:val="0E2F3606"/>
    <w:rsid w:val="10164D21"/>
    <w:rsid w:val="101D5CB0"/>
    <w:rsid w:val="116B5E31"/>
    <w:rsid w:val="11FA5BC3"/>
    <w:rsid w:val="1219786D"/>
    <w:rsid w:val="128ED175"/>
    <w:rsid w:val="13DAF042"/>
    <w:rsid w:val="17178932"/>
    <w:rsid w:val="1797212A"/>
    <w:rsid w:val="18DCA70B"/>
    <w:rsid w:val="1903156B"/>
    <w:rsid w:val="191DBCDE"/>
    <w:rsid w:val="197C877C"/>
    <w:rsid w:val="198E8A3E"/>
    <w:rsid w:val="1A0A5717"/>
    <w:rsid w:val="1A3B5381"/>
    <w:rsid w:val="1A4F29F4"/>
    <w:rsid w:val="1DE793C2"/>
    <w:rsid w:val="1EA292FD"/>
    <w:rsid w:val="1F3EA6F4"/>
    <w:rsid w:val="215DF341"/>
    <w:rsid w:val="22C3DF6A"/>
    <w:rsid w:val="22D42250"/>
    <w:rsid w:val="2451BD17"/>
    <w:rsid w:val="24756304"/>
    <w:rsid w:val="247E60FE"/>
    <w:rsid w:val="2491BBD8"/>
    <w:rsid w:val="261B0AE5"/>
    <w:rsid w:val="268A1911"/>
    <w:rsid w:val="26C73C7C"/>
    <w:rsid w:val="2745DF5E"/>
    <w:rsid w:val="27F6F421"/>
    <w:rsid w:val="27F8A714"/>
    <w:rsid w:val="2858D486"/>
    <w:rsid w:val="2887AE97"/>
    <w:rsid w:val="29B0C5A4"/>
    <w:rsid w:val="29F8B858"/>
    <w:rsid w:val="29FB7429"/>
    <w:rsid w:val="2B15040A"/>
    <w:rsid w:val="2BA4AF67"/>
    <w:rsid w:val="2D245C36"/>
    <w:rsid w:val="2DA4DC06"/>
    <w:rsid w:val="2DED0270"/>
    <w:rsid w:val="2E10A361"/>
    <w:rsid w:val="2F6A9EBA"/>
    <w:rsid w:val="2F7B95C8"/>
    <w:rsid w:val="319693C5"/>
    <w:rsid w:val="32B71159"/>
    <w:rsid w:val="32F1DEF3"/>
    <w:rsid w:val="330C653C"/>
    <w:rsid w:val="333960DD"/>
    <w:rsid w:val="352FE5D1"/>
    <w:rsid w:val="3561C184"/>
    <w:rsid w:val="35D0D67B"/>
    <w:rsid w:val="35F53212"/>
    <w:rsid w:val="3655CA6B"/>
    <w:rsid w:val="367846BD"/>
    <w:rsid w:val="36C97027"/>
    <w:rsid w:val="3762BA9F"/>
    <w:rsid w:val="37C11834"/>
    <w:rsid w:val="384AF671"/>
    <w:rsid w:val="385AF472"/>
    <w:rsid w:val="394662C8"/>
    <w:rsid w:val="394D285E"/>
    <w:rsid w:val="3A1B60E7"/>
    <w:rsid w:val="3A7016F0"/>
    <w:rsid w:val="3D6F9AEC"/>
    <w:rsid w:val="3DB39A7B"/>
    <w:rsid w:val="3EDA2B03"/>
    <w:rsid w:val="3F74C4E9"/>
    <w:rsid w:val="3FB243B2"/>
    <w:rsid w:val="402C7299"/>
    <w:rsid w:val="41125316"/>
    <w:rsid w:val="4141C1A0"/>
    <w:rsid w:val="42D57651"/>
    <w:rsid w:val="4364135B"/>
    <w:rsid w:val="43690B89"/>
    <w:rsid w:val="43EFB9DC"/>
    <w:rsid w:val="44353137"/>
    <w:rsid w:val="44E432BB"/>
    <w:rsid w:val="45836CEF"/>
    <w:rsid w:val="47CA7866"/>
    <w:rsid w:val="49756864"/>
    <w:rsid w:val="49DBA70C"/>
    <w:rsid w:val="49EE1AD7"/>
    <w:rsid w:val="4ABEA807"/>
    <w:rsid w:val="4B7B3888"/>
    <w:rsid w:val="4B806BAA"/>
    <w:rsid w:val="4CF5BADE"/>
    <w:rsid w:val="4E5346CD"/>
    <w:rsid w:val="4F0522F7"/>
    <w:rsid w:val="505A73B8"/>
    <w:rsid w:val="509D293F"/>
    <w:rsid w:val="50A24944"/>
    <w:rsid w:val="52B0E667"/>
    <w:rsid w:val="530C040B"/>
    <w:rsid w:val="56E1297A"/>
    <w:rsid w:val="59507266"/>
    <w:rsid w:val="595F623B"/>
    <w:rsid w:val="59C80EF4"/>
    <w:rsid w:val="5A957E97"/>
    <w:rsid w:val="5CDD5C04"/>
    <w:rsid w:val="5D00E22F"/>
    <w:rsid w:val="5D47F707"/>
    <w:rsid w:val="5DDE6952"/>
    <w:rsid w:val="5E251CF1"/>
    <w:rsid w:val="5E792C65"/>
    <w:rsid w:val="5F619540"/>
    <w:rsid w:val="5F94C840"/>
    <w:rsid w:val="5FFAE87A"/>
    <w:rsid w:val="609BACF8"/>
    <w:rsid w:val="629B9EE4"/>
    <w:rsid w:val="62B6669B"/>
    <w:rsid w:val="62E2A8F0"/>
    <w:rsid w:val="634DB7C1"/>
    <w:rsid w:val="63CFF105"/>
    <w:rsid w:val="653D0064"/>
    <w:rsid w:val="65F3E2B2"/>
    <w:rsid w:val="65FD83AE"/>
    <w:rsid w:val="673BD265"/>
    <w:rsid w:val="675B17D3"/>
    <w:rsid w:val="67AC420A"/>
    <w:rsid w:val="69AC29A8"/>
    <w:rsid w:val="6A0B687B"/>
    <w:rsid w:val="6D040271"/>
    <w:rsid w:val="6D44F43E"/>
    <w:rsid w:val="6D7AA086"/>
    <w:rsid w:val="6DEB04D1"/>
    <w:rsid w:val="6E0A831F"/>
    <w:rsid w:val="6EB6DA40"/>
    <w:rsid w:val="700D9C37"/>
    <w:rsid w:val="70D06CA2"/>
    <w:rsid w:val="716D9605"/>
    <w:rsid w:val="718A8014"/>
    <w:rsid w:val="71F881FA"/>
    <w:rsid w:val="72DAFB41"/>
    <w:rsid w:val="72E562F7"/>
    <w:rsid w:val="72F6EBFB"/>
    <w:rsid w:val="731DB3C6"/>
    <w:rsid w:val="739F3306"/>
    <w:rsid w:val="757F95ED"/>
    <w:rsid w:val="771B991E"/>
    <w:rsid w:val="77A77F3A"/>
    <w:rsid w:val="784A2F0D"/>
    <w:rsid w:val="792355A5"/>
    <w:rsid w:val="7A901173"/>
    <w:rsid w:val="7AEF786B"/>
    <w:rsid w:val="7B052C69"/>
    <w:rsid w:val="7B3F5A11"/>
    <w:rsid w:val="7BABF6C0"/>
    <w:rsid w:val="7C5DA5AE"/>
    <w:rsid w:val="7CCA4D31"/>
    <w:rsid w:val="7CDAF00A"/>
    <w:rsid w:val="7D029157"/>
    <w:rsid w:val="7DCA5720"/>
    <w:rsid w:val="7E2EEC54"/>
    <w:rsid w:val="7F8DF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00FB31"/>
  <w15:chartTrackingRefBased/>
  <w15:docId w15:val="{CB0599F9-883F-474D-93C7-F84C0E3C4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t-B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352"/>
    <w:pPr>
      <w:spacing w:after="200" w:line="276" w:lineRule="auto"/>
    </w:pPr>
    <w:rPr>
      <w:sz w:val="22"/>
      <w:szCs w:val="22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3C7F1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D0D31"/>
    <w:pPr>
      <w:keepNext/>
      <w:spacing w:before="240" w:after="60" w:line="240" w:lineRule="auto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tulo3">
    <w:name w:val="heading 3"/>
    <w:basedOn w:val="Normal"/>
    <w:next w:val="Normal"/>
    <w:link w:val="Ttulo3Char"/>
    <w:qFormat/>
    <w:rsid w:val="007D0D31"/>
    <w:pPr>
      <w:keepNext/>
      <w:spacing w:before="240" w:after="60" w:line="240" w:lineRule="auto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tulo4">
    <w:name w:val="heading 4"/>
    <w:basedOn w:val="Normal"/>
    <w:next w:val="Normal"/>
    <w:link w:val="Ttulo4Char"/>
    <w:unhideWhenUsed/>
    <w:qFormat/>
    <w:rsid w:val="00B8428F"/>
    <w:pPr>
      <w:keepNext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D0D31"/>
    <w:pPr>
      <w:spacing w:before="240" w:after="60" w:line="240" w:lineRule="auto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7C275C"/>
    <w:pPr>
      <w:spacing w:before="240" w:after="60"/>
      <w:outlineLvl w:val="5"/>
    </w:pPr>
    <w:rPr>
      <w:b/>
      <w:bCs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22F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F22FF1"/>
    <w:pPr>
      <w:ind w:left="720"/>
      <w:contextualSpacing/>
    </w:pPr>
  </w:style>
  <w:style w:type="paragraph" w:customStyle="1" w:styleId="NORMAS1">
    <w:name w:val="NORMAS 1"/>
    <w:basedOn w:val="Normal"/>
    <w:rsid w:val="004136C3"/>
    <w:pPr>
      <w:suppressAutoHyphens/>
      <w:spacing w:before="120" w:after="120" w:line="240" w:lineRule="auto"/>
      <w:ind w:left="170"/>
    </w:pPr>
    <w:rPr>
      <w:rFonts w:ascii="Arial" w:hAnsi="Arial"/>
      <w:b/>
      <w:i/>
      <w:szCs w:val="20"/>
      <w:lang w:eastAsia="ar-SA"/>
    </w:rPr>
  </w:style>
  <w:style w:type="paragraph" w:customStyle="1" w:styleId="NormasTexto">
    <w:name w:val="Normas Texto"/>
    <w:basedOn w:val="Normal"/>
    <w:link w:val="NormasTextoChar"/>
    <w:rsid w:val="004136C3"/>
    <w:pPr>
      <w:suppressAutoHyphens/>
      <w:spacing w:before="100" w:beforeAutospacing="1" w:after="100" w:afterAutospacing="1" w:line="240" w:lineRule="auto"/>
      <w:ind w:left="340"/>
      <w:jc w:val="both"/>
    </w:pPr>
    <w:rPr>
      <w:rFonts w:ascii="Arial" w:hAnsi="Arial"/>
      <w:sz w:val="20"/>
      <w:szCs w:val="20"/>
      <w:lang w:val="x-none" w:eastAsia="ar-SA"/>
    </w:rPr>
  </w:style>
  <w:style w:type="character" w:customStyle="1" w:styleId="NormasTextoChar">
    <w:name w:val="Normas Texto Char"/>
    <w:link w:val="NormasTexto"/>
    <w:rsid w:val="004136C3"/>
    <w:rPr>
      <w:rFonts w:ascii="Arial" w:eastAsia="Times New Roman" w:hAnsi="Arial" w:cs="Times New Roman"/>
      <w:szCs w:val="20"/>
      <w:lang w:eastAsia="ar-SA"/>
    </w:rPr>
  </w:style>
  <w:style w:type="paragraph" w:customStyle="1" w:styleId="PargrafodaLista1">
    <w:name w:val="Parágrafo da Lista1"/>
    <w:basedOn w:val="Normal"/>
    <w:rsid w:val="004136C3"/>
    <w:pPr>
      <w:spacing w:before="60" w:after="0" w:line="240" w:lineRule="auto"/>
      <w:ind w:left="720"/>
      <w:contextualSpacing/>
      <w:jc w:val="both"/>
    </w:pPr>
    <w:rPr>
      <w:rFonts w:ascii="Arial" w:hAnsi="Arial"/>
      <w:sz w:val="24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4136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136C3"/>
  </w:style>
  <w:style w:type="paragraph" w:styleId="Rodap">
    <w:name w:val="footer"/>
    <w:basedOn w:val="Normal"/>
    <w:link w:val="RodapChar"/>
    <w:uiPriority w:val="99"/>
    <w:unhideWhenUsed/>
    <w:rsid w:val="004136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136C3"/>
  </w:style>
  <w:style w:type="paragraph" w:styleId="Textodebalo">
    <w:name w:val="Balloon Text"/>
    <w:basedOn w:val="Normal"/>
    <w:link w:val="TextodebaloChar"/>
    <w:uiPriority w:val="99"/>
    <w:semiHidden/>
    <w:unhideWhenUsed/>
    <w:rsid w:val="004136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136C3"/>
    <w:rPr>
      <w:rFonts w:ascii="Tahoma" w:hAnsi="Tahoma" w:cs="Tahoma"/>
      <w:sz w:val="16"/>
      <w:szCs w:val="16"/>
    </w:rPr>
  </w:style>
  <w:style w:type="character" w:styleId="nfaseSutil">
    <w:name w:val="Subtle Emphasis"/>
    <w:uiPriority w:val="19"/>
    <w:qFormat/>
    <w:rsid w:val="00DA2240"/>
    <w:rPr>
      <w:i/>
      <w:iCs/>
      <w:color w:val="404040"/>
    </w:rPr>
  </w:style>
  <w:style w:type="character" w:styleId="Hyperlink">
    <w:name w:val="Hyperlink"/>
    <w:uiPriority w:val="99"/>
    <w:unhideWhenUsed/>
    <w:rsid w:val="009F270C"/>
    <w:rPr>
      <w:color w:val="0000FF"/>
      <w:u w:val="single"/>
    </w:rPr>
  </w:style>
  <w:style w:type="character" w:customStyle="1" w:styleId="MenoPendente1">
    <w:name w:val="Menção Pendente1"/>
    <w:uiPriority w:val="99"/>
    <w:semiHidden/>
    <w:unhideWhenUsed/>
    <w:rsid w:val="009F270C"/>
    <w:rPr>
      <w:color w:val="808080"/>
      <w:shd w:val="clear" w:color="auto" w:fill="E6E6E6"/>
    </w:rPr>
  </w:style>
  <w:style w:type="paragraph" w:customStyle="1" w:styleId="animated">
    <w:name w:val="animated"/>
    <w:basedOn w:val="Normal"/>
    <w:rsid w:val="009F27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E5048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pt-BR"/>
    </w:rPr>
  </w:style>
  <w:style w:type="paragraph" w:customStyle="1" w:styleId="Blockquote">
    <w:name w:val="Blockquote"/>
    <w:basedOn w:val="Normal"/>
    <w:rsid w:val="00AC59F7"/>
    <w:pPr>
      <w:spacing w:before="100" w:after="100" w:line="240" w:lineRule="auto"/>
      <w:ind w:left="360" w:right="360"/>
    </w:pPr>
    <w:rPr>
      <w:rFonts w:ascii="Times New Roman" w:hAnsi="Times New Roman"/>
      <w:snapToGrid w:val="0"/>
      <w:sz w:val="24"/>
      <w:szCs w:val="20"/>
    </w:rPr>
  </w:style>
  <w:style w:type="paragraph" w:styleId="Recuodecorpodetexto">
    <w:name w:val="Body Text Indent"/>
    <w:basedOn w:val="Normal"/>
    <w:link w:val="RecuodecorpodetextoChar"/>
    <w:uiPriority w:val="99"/>
    <w:rsid w:val="008C30BD"/>
    <w:pPr>
      <w:spacing w:after="120" w:line="240" w:lineRule="auto"/>
      <w:ind w:left="283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RecuodecorpodetextoChar">
    <w:name w:val="Recuo de corpo de texto Char"/>
    <w:link w:val="Recuodecorpodetexto"/>
    <w:uiPriority w:val="99"/>
    <w:rsid w:val="008C30BD"/>
    <w:rPr>
      <w:rFonts w:ascii="Times New Roman" w:eastAsia="Times New Roman" w:hAnsi="Times New Roman" w:cs="Times New Roman"/>
      <w:sz w:val="24"/>
      <w:szCs w:val="24"/>
    </w:rPr>
  </w:style>
  <w:style w:type="character" w:customStyle="1" w:styleId="MenoPendente2">
    <w:name w:val="Menção Pendente2"/>
    <w:uiPriority w:val="99"/>
    <w:semiHidden/>
    <w:unhideWhenUsed/>
    <w:rsid w:val="00973190"/>
    <w:rPr>
      <w:color w:val="605E5C"/>
      <w:shd w:val="clear" w:color="auto" w:fill="E1DFDD"/>
    </w:rPr>
  </w:style>
  <w:style w:type="character" w:styleId="Nmerodelinha">
    <w:name w:val="line number"/>
    <w:uiPriority w:val="99"/>
    <w:semiHidden/>
    <w:unhideWhenUsed/>
    <w:rsid w:val="0031460F"/>
  </w:style>
  <w:style w:type="character" w:customStyle="1" w:styleId="Ttulo1Char">
    <w:name w:val="Título 1 Char"/>
    <w:link w:val="Ttulo1"/>
    <w:uiPriority w:val="9"/>
    <w:rsid w:val="003C7F1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tulo4Char">
    <w:name w:val="Título 4 Char"/>
    <w:link w:val="Ttulo4"/>
    <w:rsid w:val="00B8428F"/>
    <w:rPr>
      <w:rFonts w:ascii="Calibri" w:eastAsia="Times New Roman" w:hAnsi="Calibri" w:cs="Times New Roman"/>
      <w:b/>
      <w:bCs/>
      <w:sz w:val="28"/>
      <w:szCs w:val="28"/>
    </w:rPr>
  </w:style>
  <w:style w:type="character" w:styleId="HiperlinkVisitado">
    <w:name w:val="FollowedHyperlink"/>
    <w:uiPriority w:val="99"/>
    <w:semiHidden/>
    <w:unhideWhenUsed/>
    <w:rsid w:val="00B8428F"/>
    <w:rPr>
      <w:color w:val="800080"/>
      <w:u w:val="single"/>
    </w:rPr>
  </w:style>
  <w:style w:type="character" w:customStyle="1" w:styleId="apple-converted-space">
    <w:name w:val="apple-converted-space"/>
    <w:rsid w:val="00B8428F"/>
    <w:rPr>
      <w:rFonts w:ascii="Times New Roman" w:hAnsi="Times New Roman" w:cs="Times New Roman" w:hint="default"/>
    </w:rPr>
  </w:style>
  <w:style w:type="character" w:customStyle="1" w:styleId="highlightedsearchterm">
    <w:name w:val="highlightedsearchterm"/>
    <w:rsid w:val="00B8428F"/>
  </w:style>
  <w:style w:type="character" w:customStyle="1" w:styleId="Ttulo2Char">
    <w:name w:val="Título 2 Char"/>
    <w:link w:val="Ttulo2"/>
    <w:uiPriority w:val="9"/>
    <w:semiHidden/>
    <w:rsid w:val="007D0D31"/>
    <w:rPr>
      <w:rFonts w:ascii="Cambria" w:hAnsi="Cambria"/>
      <w:b/>
      <w:bCs/>
      <w:i/>
      <w:iCs/>
      <w:sz w:val="28"/>
      <w:szCs w:val="28"/>
    </w:rPr>
  </w:style>
  <w:style w:type="character" w:customStyle="1" w:styleId="Ttulo3Char">
    <w:name w:val="Título 3 Char"/>
    <w:link w:val="Ttulo3"/>
    <w:rsid w:val="007D0D31"/>
    <w:rPr>
      <w:rFonts w:ascii="Cambria" w:hAnsi="Cambria"/>
      <w:b/>
      <w:bCs/>
      <w:sz w:val="26"/>
      <w:szCs w:val="26"/>
    </w:rPr>
  </w:style>
  <w:style w:type="character" w:customStyle="1" w:styleId="Ttulo5Char">
    <w:name w:val="Título 5 Char"/>
    <w:link w:val="Ttulo5"/>
    <w:uiPriority w:val="9"/>
    <w:semiHidden/>
    <w:rsid w:val="007D0D31"/>
    <w:rPr>
      <w:b/>
      <w:bCs/>
      <w:i/>
      <w:iCs/>
      <w:sz w:val="26"/>
      <w:szCs w:val="26"/>
    </w:rPr>
  </w:style>
  <w:style w:type="numbering" w:customStyle="1" w:styleId="Semlista1">
    <w:name w:val="Sem lista1"/>
    <w:next w:val="Semlista"/>
    <w:uiPriority w:val="99"/>
    <w:semiHidden/>
    <w:unhideWhenUsed/>
    <w:rsid w:val="007D0D31"/>
  </w:style>
  <w:style w:type="paragraph" w:styleId="Legenda">
    <w:name w:val="caption"/>
    <w:basedOn w:val="Normal"/>
    <w:next w:val="Normal"/>
    <w:uiPriority w:val="35"/>
    <w:unhideWhenUsed/>
    <w:qFormat/>
    <w:rsid w:val="007D0D31"/>
    <w:pPr>
      <w:spacing w:after="100" w:afterAutospacing="1" w:line="240" w:lineRule="auto"/>
    </w:pPr>
    <w:rPr>
      <w:rFonts w:eastAsia="Calibri"/>
      <w:b/>
      <w:bCs/>
      <w:color w:val="4F81BD"/>
      <w:sz w:val="18"/>
      <w:szCs w:val="18"/>
      <w:lang w:eastAsia="en-US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7D0D31"/>
    <w:pPr>
      <w:keepLines/>
      <w:spacing w:before="480" w:after="0" w:afterAutospacing="1" w:line="240" w:lineRule="auto"/>
      <w:outlineLvl w:val="9"/>
    </w:pPr>
    <w:rPr>
      <w:color w:val="365F91"/>
      <w:kern w:val="0"/>
      <w:sz w:val="28"/>
      <w:szCs w:val="28"/>
      <w:lang w:eastAsia="en-US"/>
    </w:rPr>
  </w:style>
  <w:style w:type="table" w:customStyle="1" w:styleId="Tabelacomgrade1">
    <w:name w:val="Tabela com grade1"/>
    <w:basedOn w:val="Tabelanormal"/>
    <w:next w:val="Tabelacomgrade"/>
    <w:rsid w:val="007D0D31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7D0D31"/>
    <w:pPr>
      <w:spacing w:after="120"/>
      <w:ind w:left="283"/>
    </w:pPr>
    <w:rPr>
      <w:rFonts w:eastAsia="Calibri"/>
      <w:sz w:val="16"/>
      <w:szCs w:val="16"/>
      <w:lang w:val="x-none" w:eastAsia="en-US"/>
    </w:rPr>
  </w:style>
  <w:style w:type="character" w:customStyle="1" w:styleId="Recuodecorpodetexto3Char">
    <w:name w:val="Recuo de corpo de texto 3 Char"/>
    <w:link w:val="Recuodecorpodetexto3"/>
    <w:uiPriority w:val="99"/>
    <w:semiHidden/>
    <w:rsid w:val="007D0D31"/>
    <w:rPr>
      <w:rFonts w:eastAsia="Calibri"/>
      <w:sz w:val="16"/>
      <w:szCs w:val="16"/>
      <w:lang w:eastAsia="en-US"/>
    </w:rPr>
  </w:style>
  <w:style w:type="character" w:styleId="Forte">
    <w:name w:val="Strong"/>
    <w:uiPriority w:val="22"/>
    <w:qFormat/>
    <w:rsid w:val="007D0D31"/>
    <w:rPr>
      <w:b/>
      <w:bCs/>
    </w:rPr>
  </w:style>
  <w:style w:type="character" w:styleId="MenoPendente">
    <w:name w:val="Unresolved Mention"/>
    <w:uiPriority w:val="99"/>
    <w:semiHidden/>
    <w:unhideWhenUsed/>
    <w:rsid w:val="00F20853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912F7"/>
    <w:pPr>
      <w:spacing w:after="120"/>
    </w:pPr>
    <w:rPr>
      <w:lang w:val="x-none" w:eastAsia="x-none"/>
    </w:rPr>
  </w:style>
  <w:style w:type="character" w:customStyle="1" w:styleId="CorpodetextoChar">
    <w:name w:val="Corpo de texto Char"/>
    <w:link w:val="Corpodetexto"/>
    <w:uiPriority w:val="99"/>
    <w:semiHidden/>
    <w:rsid w:val="007912F7"/>
    <w:rPr>
      <w:sz w:val="22"/>
      <w:szCs w:val="22"/>
    </w:rPr>
  </w:style>
  <w:style w:type="character" w:customStyle="1" w:styleId="Ttulo6Char">
    <w:name w:val="Título 6 Char"/>
    <w:link w:val="Ttulo6"/>
    <w:uiPriority w:val="9"/>
    <w:semiHidden/>
    <w:rsid w:val="007C275C"/>
    <w:rPr>
      <w:rFonts w:ascii="Calibri" w:eastAsia="Times New Roman" w:hAnsi="Calibri" w:cs="Times New Roman"/>
      <w:b/>
      <w:bCs/>
      <w:sz w:val="22"/>
      <w:szCs w:val="22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7C275C"/>
    <w:pPr>
      <w:spacing w:after="120" w:line="480" w:lineRule="auto"/>
    </w:pPr>
    <w:rPr>
      <w:lang w:val="x-none" w:eastAsia="x-none"/>
    </w:rPr>
  </w:style>
  <w:style w:type="character" w:customStyle="1" w:styleId="Corpodetexto2Char">
    <w:name w:val="Corpo de texto 2 Char"/>
    <w:link w:val="Corpodetexto2"/>
    <w:uiPriority w:val="99"/>
    <w:semiHidden/>
    <w:rsid w:val="007C275C"/>
    <w:rPr>
      <w:sz w:val="22"/>
      <w:szCs w:val="22"/>
    </w:rPr>
  </w:style>
  <w:style w:type="paragraph" w:customStyle="1" w:styleId="dou-paragraph">
    <w:name w:val="dou-paragraph"/>
    <w:basedOn w:val="Normal"/>
    <w:rsid w:val="00EB35D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09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12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33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26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89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26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22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230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52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optek.com.br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8f3478-284c-43ad-bb8e-b676127ed33c" xsi:nil="true"/>
    <lcf76f155ced4ddcb4097134ff3c332f xmlns="7018e6d5-5bd4-42a6-a09f-9fe99485d1a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455472ED1AEF43AD0857811FDA6387" ma:contentTypeVersion="11" ma:contentTypeDescription="Crie um novo documento." ma:contentTypeScope="" ma:versionID="1252c84f99dac81117b09d76622bc51f">
  <xsd:schema xmlns:xsd="http://www.w3.org/2001/XMLSchema" xmlns:xs="http://www.w3.org/2001/XMLSchema" xmlns:p="http://schemas.microsoft.com/office/2006/metadata/properties" xmlns:ns2="7018e6d5-5bd4-42a6-a09f-9fe99485d1a5" xmlns:ns3="418f3478-284c-43ad-bb8e-b676127ed33c" targetNamespace="http://schemas.microsoft.com/office/2006/metadata/properties" ma:root="true" ma:fieldsID="23dd715f07ab46ff4e76b3a01cb70837" ns2:_="" ns3:_="">
    <xsd:import namespace="7018e6d5-5bd4-42a6-a09f-9fe99485d1a5"/>
    <xsd:import namespace="418f3478-284c-43ad-bb8e-b676127ed3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8e6d5-5bd4-42a6-a09f-9fe99485d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Marcações de imagem" ma:readOnly="false" ma:fieldId="{5cf76f15-5ced-4ddc-b409-7134ff3c332f}" ma:taxonomyMulti="true" ma:sspId="61024523-aac5-4948-bff2-4038637d2b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8f3478-284c-43ad-bb8e-b676127ed33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73cc61c-7644-445f-a353-d04797b97f44}" ma:internalName="TaxCatchAll" ma:showField="CatchAllData" ma:web="418f3478-284c-43ad-bb8e-b676127ed3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7A815F-92F2-467F-84C7-E4AC7A6A69A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1ECBF33-BFDC-4840-B7A5-94FDDD841D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AD8086C-A4C9-4F79-9599-CC6A5EAC97FF}"/>
</file>

<file path=customXml/itemProps4.xml><?xml version="1.0" encoding="utf-8"?>
<ds:datastoreItem xmlns:ds="http://schemas.openxmlformats.org/officeDocument/2006/customXml" ds:itemID="{A9651C72-233E-45DD-95FD-DFF2BD3E9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1945</Words>
  <Characters>11245</Characters>
  <Application>Microsoft Office Word</Application>
  <DocSecurity>0</DocSecurity>
  <Lines>302</Lines>
  <Paragraphs>92</Paragraphs>
  <ScaleCrop>false</ScaleCrop>
  <Company>Hewlett-Packard</Company>
  <LinksUpToDate>false</LinksUpToDate>
  <CharactersWithSpaces>13509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Christiano Toupitzen Cavalheiro</dc:creator>
  <cp:keywords/>
  <cp:lastModifiedBy>Juscineia Gonçalves Cunha</cp:lastModifiedBy>
  <cp:revision>8</cp:revision>
  <cp:lastPrinted>2019-11-27T22:31:00Z</cp:lastPrinted>
  <dcterms:created xsi:type="dcterms:W3CDTF">2024-05-22T19:18:00Z</dcterms:created>
  <dcterms:modified xsi:type="dcterms:W3CDTF">2026-01-13T15:10:00Z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0x010100DA455472ED1AEF43AD0857811FDA6387</vt:lpwstr>
  </property>
  <property fmtid="{D5CDD505-2E9C-101B-9397-08002B2CF9AE}" pid="3" name="Order">
    <vt:r8>380600</vt:r8>
  </property>
</Properties>
</file>